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F6B9D" w14:textId="062D9E6F" w:rsidR="00F82798" w:rsidRDefault="000A63FB" w:rsidP="00453294">
      <w:pPr>
        <w:pStyle w:val="NormalEvalua"/>
        <w:jc w:val="center"/>
        <w:rPr>
          <w:rFonts w:ascii="Gotham Rounded Book" w:eastAsia="Source Sans Pro" w:hAnsi="Gotham Rounded Book" w:cs="Source Sans Pro"/>
          <w:b/>
          <w:color w:val="00843D"/>
          <w:sz w:val="32"/>
          <w:szCs w:val="36"/>
        </w:rPr>
      </w:pPr>
      <w:bookmarkStart w:id="0" w:name="_GoBack"/>
      <w:bookmarkEnd w:id="0"/>
      <w:r w:rsidRPr="00D07E48">
        <w:rPr>
          <w:rFonts w:ascii="Gotham Rounded Book" w:eastAsia="Source Sans Pro" w:hAnsi="Gotham Rounded Book" w:cs="Source Sans Pro"/>
          <w:b/>
          <w:color w:val="00843D"/>
          <w:sz w:val="32"/>
          <w:szCs w:val="36"/>
        </w:rPr>
        <w:t>CIUDAD DE MÉXICO 2020: PRINCIPALES RESULTAD</w:t>
      </w:r>
      <w:r w:rsidR="0039293F">
        <w:rPr>
          <w:rFonts w:ascii="Gotham Rounded Book" w:eastAsia="Source Sans Pro" w:hAnsi="Gotham Rounded Book" w:cs="Source Sans Pro"/>
          <w:b/>
          <w:color w:val="00843D"/>
          <w:sz w:val="32"/>
          <w:szCs w:val="36"/>
        </w:rPr>
        <w:t>OS DERIVADOS DE SU DIAGNÓSTICO</w:t>
      </w:r>
    </w:p>
    <w:p w14:paraId="197B8BFF" w14:textId="7ABCCEBE" w:rsidR="000B3BFD" w:rsidRPr="005D7D65" w:rsidRDefault="000B3BFD" w:rsidP="00453294">
      <w:pPr>
        <w:pStyle w:val="NormalEvalua"/>
        <w:jc w:val="center"/>
        <w:rPr>
          <w:rFonts w:eastAsia="Cambria" w:cs="Cambria"/>
        </w:rPr>
      </w:pPr>
      <w:r w:rsidRPr="005D7D65">
        <w:rPr>
          <w:rFonts w:eastAsia="Cambria" w:cs="Cambria"/>
        </w:rPr>
        <w:t>(1 de agosto de 2020)</w:t>
      </w:r>
    </w:p>
    <w:p w14:paraId="06D04F63" w14:textId="126E3770" w:rsidR="00F82798" w:rsidRPr="00D64ADC" w:rsidRDefault="00E87777" w:rsidP="00407A00">
      <w:pPr>
        <w:pStyle w:val="Normal1"/>
        <w:numPr>
          <w:ilvl w:val="0"/>
          <w:numId w:val="7"/>
        </w:numPr>
        <w:jc w:val="both"/>
        <w:rPr>
          <w:rFonts w:ascii="Source Sans Pro Regular" w:hAnsi="Source Sans Pro Regular"/>
          <w:color w:val="898D8D"/>
          <w:sz w:val="22"/>
          <w:szCs w:val="22"/>
        </w:rPr>
      </w:pPr>
      <w:r w:rsidRPr="00D64ADC">
        <w:rPr>
          <w:rFonts w:ascii="Source Sans Pro Regular" w:hAnsi="Source Sans Pro Regular"/>
          <w:color w:val="898D8D"/>
          <w:sz w:val="22"/>
          <w:szCs w:val="22"/>
        </w:rPr>
        <w:t xml:space="preserve">Salvo que se </w:t>
      </w:r>
      <w:r w:rsidR="00D64ADC" w:rsidRPr="00D64ADC">
        <w:rPr>
          <w:rFonts w:ascii="Source Sans Pro Regular" w:hAnsi="Source Sans Pro Regular"/>
          <w:color w:val="898D8D"/>
          <w:sz w:val="22"/>
          <w:szCs w:val="22"/>
        </w:rPr>
        <w:t>indique</w:t>
      </w:r>
      <w:r w:rsidRPr="00D64ADC">
        <w:rPr>
          <w:rFonts w:ascii="Source Sans Pro Regular" w:hAnsi="Source Sans Pro Regular"/>
          <w:color w:val="898D8D"/>
          <w:sz w:val="22"/>
          <w:szCs w:val="22"/>
        </w:rPr>
        <w:t xml:space="preserve"> lo </w:t>
      </w:r>
      <w:r w:rsidR="00D64ADC" w:rsidRPr="00D64ADC">
        <w:rPr>
          <w:rFonts w:ascii="Source Sans Pro Regular" w:hAnsi="Source Sans Pro Regular"/>
          <w:color w:val="898D8D"/>
          <w:sz w:val="22"/>
          <w:szCs w:val="22"/>
        </w:rPr>
        <w:t>contrario</w:t>
      </w:r>
      <w:r w:rsidRPr="00D64ADC">
        <w:rPr>
          <w:rFonts w:ascii="Source Sans Pro Regular" w:hAnsi="Source Sans Pro Regular"/>
          <w:color w:val="898D8D"/>
          <w:sz w:val="22"/>
          <w:szCs w:val="22"/>
        </w:rPr>
        <w:t xml:space="preserve">, todos los </w:t>
      </w:r>
      <w:r w:rsidR="00D64ADC" w:rsidRPr="00D64ADC">
        <w:rPr>
          <w:rFonts w:ascii="Source Sans Pro Regular" w:hAnsi="Source Sans Pro Regular"/>
          <w:color w:val="898D8D"/>
          <w:sz w:val="22"/>
          <w:szCs w:val="22"/>
        </w:rPr>
        <w:t>resultados</w:t>
      </w:r>
      <w:r w:rsidR="00D64ADC">
        <w:rPr>
          <w:rFonts w:ascii="Source Sans Pro Regular" w:hAnsi="Source Sans Pro Regular"/>
          <w:color w:val="898D8D"/>
          <w:sz w:val="22"/>
          <w:szCs w:val="22"/>
        </w:rPr>
        <w:t xml:space="preserve"> mostrados </w:t>
      </w:r>
      <w:r w:rsidRPr="00D64ADC">
        <w:rPr>
          <w:rFonts w:ascii="Source Sans Pro Regular" w:hAnsi="Source Sans Pro Regular"/>
          <w:color w:val="898D8D"/>
          <w:sz w:val="22"/>
          <w:szCs w:val="22"/>
        </w:rPr>
        <w:t xml:space="preserve">se refieren a la Ciudad de </w:t>
      </w:r>
      <w:r w:rsidR="00D64ADC" w:rsidRPr="00D64ADC">
        <w:rPr>
          <w:rFonts w:ascii="Source Sans Pro Regular" w:hAnsi="Source Sans Pro Regular"/>
          <w:color w:val="898D8D"/>
          <w:sz w:val="22"/>
          <w:szCs w:val="22"/>
        </w:rPr>
        <w:t>México</w:t>
      </w:r>
      <w:r w:rsidRPr="00D64ADC">
        <w:rPr>
          <w:rFonts w:ascii="Source Sans Pro Regular" w:hAnsi="Source Sans Pro Regular"/>
          <w:color w:val="898D8D"/>
          <w:sz w:val="22"/>
          <w:szCs w:val="22"/>
        </w:rPr>
        <w:t>.</w:t>
      </w:r>
    </w:p>
    <w:p w14:paraId="561400B1" w14:textId="04FD3146" w:rsidR="00BD1AE4" w:rsidRPr="00BD1AE4" w:rsidRDefault="000A63FB" w:rsidP="00407A00">
      <w:pPr>
        <w:pStyle w:val="Normal1"/>
        <w:numPr>
          <w:ilvl w:val="0"/>
          <w:numId w:val="7"/>
        </w:numPr>
        <w:jc w:val="both"/>
        <w:rPr>
          <w:rFonts w:ascii="Source Sans Pro Regular" w:eastAsia="Times New Roman" w:hAnsi="Source Sans Pro Regular" w:cs="Times New Roman"/>
          <w:color w:val="898D8D"/>
          <w:sz w:val="22"/>
          <w:szCs w:val="22"/>
        </w:rPr>
      </w:pPr>
      <w:r w:rsidRPr="00D64ADC">
        <w:rPr>
          <w:rFonts w:ascii="Source Sans Pro Regular" w:hAnsi="Source Sans Pro Regular"/>
          <w:color w:val="898D8D"/>
          <w:sz w:val="22"/>
          <w:szCs w:val="22"/>
        </w:rPr>
        <w:t xml:space="preserve">La fuente </w:t>
      </w:r>
      <w:r w:rsidR="00D64ADC">
        <w:rPr>
          <w:rFonts w:ascii="Source Sans Pro Regular" w:hAnsi="Source Sans Pro Regular"/>
          <w:color w:val="898D8D"/>
          <w:sz w:val="22"/>
          <w:szCs w:val="22"/>
        </w:rPr>
        <w:t xml:space="preserve">general </w:t>
      </w:r>
      <w:r w:rsidRPr="00D64ADC">
        <w:rPr>
          <w:rFonts w:ascii="Source Sans Pro Regular" w:hAnsi="Source Sans Pro Regular"/>
          <w:color w:val="898D8D"/>
          <w:sz w:val="22"/>
          <w:szCs w:val="22"/>
        </w:rPr>
        <w:t xml:space="preserve">de los </w:t>
      </w:r>
      <w:r w:rsidR="00D64ADC" w:rsidRPr="00D64ADC">
        <w:rPr>
          <w:rFonts w:ascii="Source Sans Pro Regular" w:hAnsi="Source Sans Pro Regular"/>
          <w:color w:val="898D8D"/>
          <w:sz w:val="22"/>
          <w:szCs w:val="22"/>
        </w:rPr>
        <w:t>datos</w:t>
      </w:r>
      <w:r w:rsidRPr="00D64ADC">
        <w:rPr>
          <w:rFonts w:ascii="Source Sans Pro Regular" w:hAnsi="Source Sans Pro Regular"/>
          <w:color w:val="898D8D"/>
          <w:sz w:val="22"/>
          <w:szCs w:val="22"/>
        </w:rPr>
        <w:t xml:space="preserve"> es </w:t>
      </w:r>
      <w:r w:rsidRPr="00D64ADC">
        <w:rPr>
          <w:rFonts w:ascii="Source Sans Pro Regular" w:hAnsi="Source Sans Pro Regular"/>
          <w:i/>
          <w:color w:val="898D8D"/>
          <w:sz w:val="22"/>
          <w:szCs w:val="22"/>
        </w:rPr>
        <w:t xml:space="preserve">Ciudad de México 2020. Un </w:t>
      </w:r>
      <w:r w:rsidR="00D64ADC" w:rsidRPr="00D64ADC">
        <w:rPr>
          <w:rFonts w:ascii="Source Sans Pro Regular" w:hAnsi="Source Sans Pro Regular"/>
          <w:i/>
          <w:color w:val="898D8D"/>
          <w:sz w:val="22"/>
          <w:szCs w:val="22"/>
        </w:rPr>
        <w:t>diagnóstico</w:t>
      </w:r>
      <w:r w:rsidRPr="00D64ADC">
        <w:rPr>
          <w:rFonts w:ascii="Source Sans Pro Regular" w:hAnsi="Source Sans Pro Regular"/>
          <w:i/>
          <w:color w:val="898D8D"/>
          <w:sz w:val="22"/>
          <w:szCs w:val="22"/>
        </w:rPr>
        <w:t xml:space="preserve"> de la desigualdad socio </w:t>
      </w:r>
      <w:r w:rsidR="00D64ADC" w:rsidRPr="00D64ADC">
        <w:rPr>
          <w:rFonts w:ascii="Source Sans Pro Regular" w:hAnsi="Source Sans Pro Regular"/>
          <w:i/>
          <w:color w:val="898D8D"/>
          <w:sz w:val="22"/>
          <w:szCs w:val="22"/>
        </w:rPr>
        <w:t>territorial</w:t>
      </w:r>
      <w:r w:rsidR="00BD1AE4" w:rsidRPr="00D64ADC">
        <w:rPr>
          <w:rFonts w:ascii="Source Sans Pro Regular" w:hAnsi="Source Sans Pro Regular"/>
          <w:i/>
          <w:color w:val="898D8D"/>
          <w:sz w:val="22"/>
          <w:szCs w:val="22"/>
        </w:rPr>
        <w:t xml:space="preserve"> </w:t>
      </w:r>
      <w:r w:rsidR="00BD1AE4" w:rsidRPr="00D64ADC">
        <w:rPr>
          <w:rFonts w:ascii="Source Sans Pro Regular" w:hAnsi="Source Sans Pro Regular"/>
          <w:color w:val="898D8D"/>
          <w:sz w:val="22"/>
          <w:szCs w:val="22"/>
        </w:rPr>
        <w:t xml:space="preserve">(en </w:t>
      </w:r>
      <w:r w:rsidR="00D64ADC" w:rsidRPr="00D64ADC">
        <w:rPr>
          <w:rFonts w:ascii="Source Sans Pro Regular" w:hAnsi="Source Sans Pro Regular"/>
          <w:color w:val="898D8D"/>
          <w:sz w:val="22"/>
          <w:szCs w:val="22"/>
        </w:rPr>
        <w:t>adelante</w:t>
      </w:r>
      <w:r w:rsidR="00BD1AE4" w:rsidRPr="00D64ADC">
        <w:rPr>
          <w:rFonts w:ascii="Source Sans Pro Regular" w:hAnsi="Source Sans Pro Regular"/>
          <w:color w:val="898D8D"/>
          <w:sz w:val="22"/>
          <w:szCs w:val="22"/>
        </w:rPr>
        <w:t xml:space="preserve"> </w:t>
      </w:r>
      <w:r w:rsidR="00D64ADC" w:rsidRPr="00D64ADC">
        <w:rPr>
          <w:rFonts w:ascii="Source Sans Pro Regular" w:hAnsi="Source Sans Pro Regular"/>
          <w:color w:val="898D8D"/>
          <w:sz w:val="22"/>
          <w:szCs w:val="22"/>
        </w:rPr>
        <w:t>Diagnóstico</w:t>
      </w:r>
      <w:r w:rsidR="00BD1AE4" w:rsidRPr="00D64ADC">
        <w:rPr>
          <w:rFonts w:ascii="Source Sans Pro Regular" w:hAnsi="Source Sans Pro Regular"/>
          <w:color w:val="898D8D"/>
          <w:sz w:val="22"/>
          <w:szCs w:val="22"/>
        </w:rPr>
        <w:t xml:space="preserve">). </w:t>
      </w:r>
      <w:r w:rsidR="00ED0CE2">
        <w:rPr>
          <w:rFonts w:ascii="Source Sans Pro Regular" w:hAnsi="Source Sans Pro Regular"/>
          <w:color w:val="898D8D"/>
          <w:sz w:val="22"/>
          <w:szCs w:val="22"/>
        </w:rPr>
        <w:t xml:space="preserve">Los indicadores referidos a la población infantil pueden ser ampliados con el </w:t>
      </w:r>
      <w:r w:rsidR="00D64ADC" w:rsidRPr="00D64ADC">
        <w:rPr>
          <w:rFonts w:ascii="Source Sans Pro Regular" w:hAnsi="Source Sans Pro Regular"/>
          <w:color w:val="898D8D"/>
          <w:sz w:val="22"/>
          <w:szCs w:val="22"/>
        </w:rPr>
        <w:t>informe</w:t>
      </w:r>
      <w:r w:rsidR="00BD1AE4" w:rsidRPr="00D64ADC">
        <w:rPr>
          <w:rFonts w:ascii="Source Sans Pro Regular" w:hAnsi="Source Sans Pro Regular"/>
          <w:color w:val="898D8D"/>
          <w:sz w:val="22"/>
          <w:szCs w:val="22"/>
        </w:rPr>
        <w:t xml:space="preserve"> </w:t>
      </w:r>
      <w:r w:rsidRPr="00D64ADC">
        <w:rPr>
          <w:rFonts w:ascii="Source Sans Pro Regular" w:hAnsi="Source Sans Pro Regular"/>
          <w:i/>
          <w:color w:val="898D8D"/>
          <w:sz w:val="22"/>
          <w:szCs w:val="22"/>
        </w:rPr>
        <w:t xml:space="preserve">Infancias en la Ciudad de </w:t>
      </w:r>
      <w:r w:rsidR="00D64ADC" w:rsidRPr="00D64ADC">
        <w:rPr>
          <w:rFonts w:ascii="Source Sans Pro Regular" w:hAnsi="Source Sans Pro Regular"/>
          <w:i/>
          <w:color w:val="898D8D"/>
          <w:sz w:val="22"/>
          <w:szCs w:val="22"/>
        </w:rPr>
        <w:t>México</w:t>
      </w:r>
      <w:r w:rsidRPr="00D64ADC">
        <w:rPr>
          <w:rFonts w:ascii="Source Sans Pro Regular" w:hAnsi="Source Sans Pro Regular"/>
          <w:i/>
          <w:color w:val="898D8D"/>
          <w:sz w:val="22"/>
          <w:szCs w:val="22"/>
        </w:rPr>
        <w:t xml:space="preserve"> 2020</w:t>
      </w:r>
      <w:r w:rsidR="00BD1AE4" w:rsidRPr="00D64ADC">
        <w:rPr>
          <w:rFonts w:ascii="Source Sans Pro Regular" w:hAnsi="Source Sans Pro Regular"/>
          <w:color w:val="898D8D"/>
          <w:sz w:val="22"/>
          <w:szCs w:val="22"/>
        </w:rPr>
        <w:t xml:space="preserve"> (que puede ser consultado en </w:t>
      </w:r>
      <w:r w:rsidR="00BD1AE4" w:rsidRPr="00D64ADC">
        <w:rPr>
          <w:rFonts w:ascii="Source Sans Pro Regular" w:eastAsia="Times New Roman" w:hAnsi="Source Sans Pro Regular" w:cs="Times New Roman"/>
          <w:color w:val="898D8D"/>
          <w:sz w:val="22"/>
          <w:szCs w:val="22"/>
          <w:u w:val="single"/>
        </w:rPr>
        <w:t>https://www.evalua.cdmx.gob.mx/estudios-e-investigaciones/infancias-en-la-ciudad-de-mexico-2020</w:t>
      </w:r>
      <w:r w:rsidR="00BD1AE4" w:rsidRPr="00D64ADC">
        <w:rPr>
          <w:rFonts w:ascii="Source Sans Pro Regular" w:eastAsia="Times New Roman" w:hAnsi="Source Sans Pro Regular" w:cs="Times New Roman"/>
          <w:color w:val="898D8D"/>
          <w:sz w:val="22"/>
          <w:szCs w:val="22"/>
        </w:rPr>
        <w:t>).</w:t>
      </w:r>
    </w:p>
    <w:p w14:paraId="19C30522" w14:textId="7C4F103F" w:rsidR="00F74E22" w:rsidRPr="00D64ADC" w:rsidRDefault="00F74E22" w:rsidP="00407A00">
      <w:pPr>
        <w:pStyle w:val="Normal1"/>
        <w:numPr>
          <w:ilvl w:val="0"/>
          <w:numId w:val="7"/>
        </w:numPr>
        <w:jc w:val="both"/>
        <w:rPr>
          <w:rFonts w:ascii="Source Sans Pro Regular" w:hAnsi="Source Sans Pro Regular"/>
          <w:color w:val="898D8D"/>
          <w:sz w:val="22"/>
          <w:szCs w:val="22"/>
        </w:rPr>
      </w:pPr>
      <w:r w:rsidRPr="00D64ADC">
        <w:rPr>
          <w:rFonts w:ascii="Source Sans Pro Regular" w:hAnsi="Source Sans Pro Regular"/>
          <w:color w:val="898D8D"/>
          <w:sz w:val="22"/>
          <w:szCs w:val="22"/>
        </w:rPr>
        <w:t xml:space="preserve">Para cada tema se presenta el </w:t>
      </w:r>
      <w:r w:rsidR="00826FF1" w:rsidRPr="00D64ADC">
        <w:rPr>
          <w:rFonts w:ascii="Source Sans Pro Regular" w:hAnsi="Source Sans Pro Regular"/>
          <w:color w:val="898D8D"/>
          <w:sz w:val="22"/>
          <w:szCs w:val="22"/>
        </w:rPr>
        <w:t>número</w:t>
      </w:r>
      <w:r w:rsidRPr="00D64ADC">
        <w:rPr>
          <w:rFonts w:ascii="Source Sans Pro Regular" w:hAnsi="Source Sans Pro Regular"/>
          <w:color w:val="898D8D"/>
          <w:sz w:val="22"/>
          <w:szCs w:val="22"/>
        </w:rPr>
        <w:t xml:space="preserve"> de cuadro o </w:t>
      </w:r>
      <w:r w:rsidR="00826FF1" w:rsidRPr="00D64ADC">
        <w:rPr>
          <w:rFonts w:ascii="Source Sans Pro Regular" w:hAnsi="Source Sans Pro Regular"/>
          <w:color w:val="898D8D"/>
          <w:sz w:val="22"/>
          <w:szCs w:val="22"/>
        </w:rPr>
        <w:t>gráfica</w:t>
      </w:r>
      <w:r w:rsidRPr="00D64ADC">
        <w:rPr>
          <w:rFonts w:ascii="Source Sans Pro Regular" w:hAnsi="Source Sans Pro Regular"/>
          <w:color w:val="898D8D"/>
          <w:sz w:val="22"/>
          <w:szCs w:val="22"/>
        </w:rPr>
        <w:t xml:space="preserve"> de donde procede</w:t>
      </w:r>
      <w:r w:rsidR="00826FF1">
        <w:rPr>
          <w:rFonts w:ascii="Source Sans Pro Regular" w:hAnsi="Source Sans Pro Regular"/>
          <w:color w:val="898D8D"/>
          <w:sz w:val="22"/>
          <w:szCs w:val="22"/>
        </w:rPr>
        <w:t xml:space="preserve">n </w:t>
      </w:r>
      <w:r w:rsidRPr="00D64ADC">
        <w:rPr>
          <w:rFonts w:ascii="Source Sans Pro Regular" w:hAnsi="Source Sans Pro Regular"/>
          <w:color w:val="898D8D"/>
          <w:sz w:val="22"/>
          <w:szCs w:val="22"/>
        </w:rPr>
        <w:t>l</w:t>
      </w:r>
      <w:r w:rsidR="00826FF1">
        <w:rPr>
          <w:rFonts w:ascii="Source Sans Pro Regular" w:hAnsi="Source Sans Pro Regular"/>
          <w:color w:val="898D8D"/>
          <w:sz w:val="22"/>
          <w:szCs w:val="22"/>
        </w:rPr>
        <w:t>os</w:t>
      </w:r>
      <w:r w:rsidRPr="00D64ADC">
        <w:rPr>
          <w:rFonts w:ascii="Source Sans Pro Regular" w:hAnsi="Source Sans Pro Regular"/>
          <w:color w:val="898D8D"/>
          <w:sz w:val="22"/>
          <w:szCs w:val="22"/>
        </w:rPr>
        <w:t xml:space="preserve"> </w:t>
      </w:r>
      <w:r w:rsidR="00826FF1">
        <w:rPr>
          <w:rFonts w:ascii="Source Sans Pro Regular" w:hAnsi="Source Sans Pro Regular"/>
          <w:color w:val="898D8D"/>
          <w:sz w:val="22"/>
          <w:szCs w:val="22"/>
        </w:rPr>
        <w:t xml:space="preserve">indicadores, </w:t>
      </w:r>
      <w:r w:rsidRPr="00D64ADC">
        <w:rPr>
          <w:rFonts w:ascii="Source Sans Pro Regular" w:hAnsi="Source Sans Pro Regular"/>
          <w:color w:val="898D8D"/>
          <w:sz w:val="22"/>
          <w:szCs w:val="22"/>
        </w:rPr>
        <w:t>mism</w:t>
      </w:r>
      <w:r w:rsidR="00826FF1">
        <w:rPr>
          <w:rFonts w:ascii="Source Sans Pro Regular" w:hAnsi="Source Sans Pro Regular"/>
          <w:color w:val="898D8D"/>
          <w:sz w:val="22"/>
          <w:szCs w:val="22"/>
        </w:rPr>
        <w:t>os</w:t>
      </w:r>
      <w:r w:rsidRPr="00D64ADC">
        <w:rPr>
          <w:rFonts w:ascii="Source Sans Pro Regular" w:hAnsi="Source Sans Pro Regular"/>
          <w:color w:val="898D8D"/>
          <w:sz w:val="22"/>
          <w:szCs w:val="22"/>
        </w:rPr>
        <w:t xml:space="preserve"> que puede</w:t>
      </w:r>
      <w:r w:rsidR="00826FF1">
        <w:rPr>
          <w:rFonts w:ascii="Source Sans Pro Regular" w:hAnsi="Source Sans Pro Regular"/>
          <w:color w:val="898D8D"/>
          <w:sz w:val="22"/>
          <w:szCs w:val="22"/>
        </w:rPr>
        <w:t>n</w:t>
      </w:r>
      <w:r w:rsidRPr="00D64ADC">
        <w:rPr>
          <w:rFonts w:ascii="Source Sans Pro Regular" w:hAnsi="Source Sans Pro Regular"/>
          <w:color w:val="898D8D"/>
          <w:sz w:val="22"/>
          <w:szCs w:val="22"/>
        </w:rPr>
        <w:t xml:space="preserve"> ser consultad</w:t>
      </w:r>
      <w:r w:rsidR="00826FF1">
        <w:rPr>
          <w:rFonts w:ascii="Source Sans Pro Regular" w:hAnsi="Source Sans Pro Regular"/>
          <w:color w:val="898D8D"/>
          <w:sz w:val="22"/>
          <w:szCs w:val="22"/>
        </w:rPr>
        <w:t>os</w:t>
      </w:r>
      <w:r w:rsidRPr="00D64ADC">
        <w:rPr>
          <w:rFonts w:ascii="Source Sans Pro Regular" w:hAnsi="Source Sans Pro Regular"/>
          <w:color w:val="898D8D"/>
          <w:sz w:val="22"/>
          <w:szCs w:val="22"/>
        </w:rPr>
        <w:t xml:space="preserve"> en el </w:t>
      </w:r>
      <w:r w:rsidRPr="00826FF1">
        <w:rPr>
          <w:rFonts w:ascii="Source Sans Pro Regular" w:hAnsi="Source Sans Pro Regular"/>
          <w:i/>
          <w:color w:val="898D8D"/>
          <w:sz w:val="22"/>
          <w:szCs w:val="22"/>
        </w:rPr>
        <w:t>Diagn</w:t>
      </w:r>
      <w:r w:rsidR="00826FF1">
        <w:rPr>
          <w:rFonts w:ascii="Source Sans Pro Regular" w:hAnsi="Source Sans Pro Regular"/>
          <w:i/>
          <w:color w:val="898D8D"/>
          <w:sz w:val="22"/>
          <w:szCs w:val="22"/>
        </w:rPr>
        <w:t>ó</w:t>
      </w:r>
      <w:r w:rsidRPr="00826FF1">
        <w:rPr>
          <w:rFonts w:ascii="Source Sans Pro Regular" w:hAnsi="Source Sans Pro Regular"/>
          <w:i/>
          <w:color w:val="898D8D"/>
          <w:sz w:val="22"/>
          <w:szCs w:val="22"/>
        </w:rPr>
        <w:t>stico</w:t>
      </w:r>
      <w:r w:rsidRPr="00D64ADC">
        <w:rPr>
          <w:rFonts w:ascii="Source Sans Pro Regular" w:hAnsi="Source Sans Pro Regular"/>
          <w:color w:val="898D8D"/>
          <w:sz w:val="22"/>
          <w:szCs w:val="22"/>
        </w:rPr>
        <w:t xml:space="preserve"> si se </w:t>
      </w:r>
      <w:r w:rsidR="00826FF1" w:rsidRPr="00D64ADC">
        <w:rPr>
          <w:rFonts w:ascii="Source Sans Pro Regular" w:hAnsi="Source Sans Pro Regular"/>
          <w:color w:val="898D8D"/>
          <w:sz w:val="22"/>
          <w:szCs w:val="22"/>
        </w:rPr>
        <w:t>requiere</w:t>
      </w:r>
      <w:r w:rsidRPr="00D64ADC">
        <w:rPr>
          <w:rFonts w:ascii="Source Sans Pro Regular" w:hAnsi="Source Sans Pro Regular"/>
          <w:color w:val="898D8D"/>
          <w:sz w:val="22"/>
          <w:szCs w:val="22"/>
        </w:rPr>
        <w:t xml:space="preserve"> un mayor detalle sobre su </w:t>
      </w:r>
      <w:r w:rsidR="00826FF1" w:rsidRPr="00D64ADC">
        <w:rPr>
          <w:rFonts w:ascii="Source Sans Pro Regular" w:hAnsi="Source Sans Pro Regular"/>
          <w:color w:val="898D8D"/>
          <w:sz w:val="22"/>
          <w:szCs w:val="22"/>
        </w:rPr>
        <w:t>definición</w:t>
      </w:r>
      <w:r w:rsidRPr="00D64ADC">
        <w:rPr>
          <w:rFonts w:ascii="Source Sans Pro Regular" w:hAnsi="Source Sans Pro Regular"/>
          <w:color w:val="898D8D"/>
          <w:sz w:val="22"/>
          <w:szCs w:val="22"/>
        </w:rPr>
        <w:t xml:space="preserve"> o </w:t>
      </w:r>
      <w:r w:rsidR="00826FF1" w:rsidRPr="00D64ADC">
        <w:rPr>
          <w:rFonts w:ascii="Source Sans Pro Regular" w:hAnsi="Source Sans Pro Regular"/>
          <w:color w:val="898D8D"/>
          <w:sz w:val="22"/>
          <w:szCs w:val="22"/>
        </w:rPr>
        <w:t>fuentes</w:t>
      </w:r>
      <w:r w:rsidRPr="00D64ADC">
        <w:rPr>
          <w:rFonts w:ascii="Source Sans Pro Regular" w:hAnsi="Source Sans Pro Regular"/>
          <w:color w:val="898D8D"/>
          <w:sz w:val="22"/>
          <w:szCs w:val="22"/>
        </w:rPr>
        <w:t xml:space="preserve"> de </w:t>
      </w:r>
      <w:r w:rsidR="00826FF1" w:rsidRPr="00D64ADC">
        <w:rPr>
          <w:rFonts w:ascii="Source Sans Pro Regular" w:hAnsi="Source Sans Pro Regular"/>
          <w:color w:val="898D8D"/>
          <w:sz w:val="22"/>
          <w:szCs w:val="22"/>
        </w:rPr>
        <w:t>cálculo</w:t>
      </w:r>
      <w:r w:rsidRPr="00D64ADC">
        <w:rPr>
          <w:rFonts w:ascii="Source Sans Pro Regular" w:hAnsi="Source Sans Pro Regular"/>
          <w:color w:val="898D8D"/>
          <w:sz w:val="22"/>
          <w:szCs w:val="22"/>
        </w:rPr>
        <w:t>.</w:t>
      </w:r>
      <w:r w:rsidR="00F740CF">
        <w:rPr>
          <w:rFonts w:ascii="Source Sans Pro Regular" w:hAnsi="Source Sans Pro Regular"/>
          <w:color w:val="898D8D"/>
          <w:sz w:val="22"/>
          <w:szCs w:val="22"/>
        </w:rPr>
        <w:t xml:space="preserve"> Cuando la información </w:t>
      </w:r>
      <w:r w:rsidR="00B829BD">
        <w:rPr>
          <w:rFonts w:ascii="Source Sans Pro Regular" w:hAnsi="Source Sans Pro Regular"/>
          <w:color w:val="898D8D"/>
          <w:sz w:val="22"/>
          <w:szCs w:val="22"/>
        </w:rPr>
        <w:t>procede de algún párrafo (y no se presenta en cuadros o gráficas)</w:t>
      </w:r>
      <w:r w:rsidR="00F740CF">
        <w:rPr>
          <w:rFonts w:ascii="Source Sans Pro Regular" w:hAnsi="Source Sans Pro Regular"/>
          <w:color w:val="898D8D"/>
          <w:sz w:val="22"/>
          <w:szCs w:val="22"/>
        </w:rPr>
        <w:t>, se cita la p</w:t>
      </w:r>
      <w:r w:rsidR="00B829BD">
        <w:rPr>
          <w:rFonts w:ascii="Source Sans Pro Regular" w:hAnsi="Source Sans Pro Regular"/>
          <w:color w:val="898D8D"/>
          <w:sz w:val="22"/>
          <w:szCs w:val="22"/>
        </w:rPr>
        <w:t xml:space="preserve">ágina </w:t>
      </w:r>
      <w:r w:rsidR="00F740CF">
        <w:rPr>
          <w:rFonts w:ascii="Source Sans Pro Regular" w:hAnsi="Source Sans Pro Regular"/>
          <w:color w:val="898D8D"/>
          <w:sz w:val="22"/>
          <w:szCs w:val="22"/>
        </w:rPr>
        <w:t>o páginas donde puede ser c</w:t>
      </w:r>
      <w:r w:rsidR="00B829BD">
        <w:rPr>
          <w:rFonts w:ascii="Source Sans Pro Regular" w:hAnsi="Source Sans Pro Regular"/>
          <w:color w:val="898D8D"/>
          <w:sz w:val="22"/>
          <w:szCs w:val="22"/>
        </w:rPr>
        <w:t>onsultada</w:t>
      </w:r>
      <w:r w:rsidR="00F740CF">
        <w:rPr>
          <w:rFonts w:ascii="Source Sans Pro Regular" w:hAnsi="Source Sans Pro Regular"/>
          <w:color w:val="898D8D"/>
          <w:sz w:val="22"/>
          <w:szCs w:val="22"/>
        </w:rPr>
        <w:t xml:space="preserve">. </w:t>
      </w:r>
    </w:p>
    <w:p w14:paraId="01960866" w14:textId="3CDF1555" w:rsidR="00E87777" w:rsidRPr="00D64ADC" w:rsidRDefault="00BD1AE4">
      <w:pPr>
        <w:pStyle w:val="Normal1"/>
        <w:rPr>
          <w:rFonts w:ascii="Source Sans Pro Regular" w:hAnsi="Source Sans Pro Regular"/>
          <w:color w:val="898D8D"/>
          <w:sz w:val="22"/>
          <w:szCs w:val="22"/>
        </w:rPr>
      </w:pPr>
      <w:r w:rsidRPr="00D64ADC">
        <w:rPr>
          <w:rFonts w:ascii="Source Sans Pro Regular" w:hAnsi="Source Sans Pro Regular"/>
          <w:color w:val="898D8D"/>
          <w:sz w:val="22"/>
          <w:szCs w:val="22"/>
        </w:rPr>
        <w:t xml:space="preserve"> </w:t>
      </w:r>
    </w:p>
    <w:tbl>
      <w:tblPr>
        <w:tblStyle w:val="a"/>
        <w:tblW w:w="101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4"/>
        <w:gridCol w:w="5528"/>
        <w:gridCol w:w="2410"/>
      </w:tblGrid>
      <w:tr w:rsidR="00F82798" w:rsidRPr="00E22D74" w14:paraId="218EB31E" w14:textId="77777777" w:rsidTr="004D43EE">
        <w:trPr>
          <w:trHeight w:val="340"/>
        </w:trPr>
        <w:tc>
          <w:tcPr>
            <w:tcW w:w="10112" w:type="dxa"/>
            <w:gridSpan w:val="3"/>
            <w:tcBorders>
              <w:bottom w:val="single" w:sz="4" w:space="0" w:color="000000"/>
            </w:tcBorders>
            <w:shd w:val="solid" w:color="008000" w:fill="00843D"/>
            <w:vAlign w:val="center"/>
          </w:tcPr>
          <w:p w14:paraId="00824B48" w14:textId="5F5095BA" w:rsidR="00F82798" w:rsidRPr="00E22D74" w:rsidRDefault="000A7D33" w:rsidP="000A7D33">
            <w:pPr>
              <w:pStyle w:val="Normal1"/>
              <w:jc w:val="center"/>
              <w:rPr>
                <w:rFonts w:ascii="Source Sans Pro Regular" w:hAnsi="Source Sans Pro Regular"/>
                <w:b/>
                <w:color w:val="FFFFFF" w:themeColor="background1"/>
                <w:sz w:val="20"/>
                <w:szCs w:val="20"/>
              </w:rPr>
            </w:pPr>
            <w:r>
              <w:rPr>
                <w:rFonts w:ascii="Source Sans Pro Regular" w:hAnsi="Source Sans Pro Regular"/>
                <w:b/>
                <w:color w:val="FFFFFF" w:themeColor="background1"/>
                <w:sz w:val="20"/>
                <w:szCs w:val="20"/>
              </w:rPr>
              <w:t xml:space="preserve">(Capítulo 1) </w:t>
            </w:r>
            <w:r w:rsidR="000A63FB" w:rsidRPr="00E22D74">
              <w:rPr>
                <w:rFonts w:ascii="Source Sans Pro Regular" w:hAnsi="Source Sans Pro Regular"/>
                <w:b/>
                <w:color w:val="FFFFFF" w:themeColor="background1"/>
                <w:sz w:val="20"/>
                <w:szCs w:val="20"/>
              </w:rPr>
              <w:t>POBLACIÓN Y TERRITORIO</w:t>
            </w:r>
          </w:p>
        </w:tc>
      </w:tr>
      <w:tr w:rsidR="00F82798" w:rsidRPr="009811C6" w14:paraId="5E70933E" w14:textId="77777777" w:rsidTr="004D43EE">
        <w:tc>
          <w:tcPr>
            <w:tcW w:w="2174" w:type="dxa"/>
            <w:shd w:val="solid" w:color="008000" w:fill="auto"/>
          </w:tcPr>
          <w:p w14:paraId="7A7A54F2" w14:textId="62BED979" w:rsidR="00F82798" w:rsidRPr="009811C6" w:rsidRDefault="00F74E22" w:rsidP="00B06BB1">
            <w:pPr>
              <w:pStyle w:val="Normal1"/>
              <w:rPr>
                <w:rFonts w:ascii="Source Sans Pro Regular" w:hAnsi="Source Sans Pro Regular"/>
                <w:b/>
                <w:color w:val="FFFFFF" w:themeColor="background1"/>
                <w:sz w:val="20"/>
                <w:szCs w:val="20"/>
              </w:rPr>
            </w:pPr>
            <w:r>
              <w:rPr>
                <w:rFonts w:ascii="Source Sans Pro Regular" w:hAnsi="Source Sans Pro Regular"/>
                <w:b/>
                <w:color w:val="FFFFFF" w:themeColor="background1"/>
                <w:sz w:val="20"/>
                <w:szCs w:val="20"/>
              </w:rPr>
              <w:t>Temas</w:t>
            </w:r>
            <w:r w:rsidR="000A63FB" w:rsidRPr="009811C6">
              <w:rPr>
                <w:rFonts w:ascii="Source Sans Pro Regular" w:hAnsi="Source Sans Pro Regular"/>
                <w:b/>
                <w:color w:val="FFFFFF" w:themeColor="background1"/>
                <w:sz w:val="20"/>
                <w:szCs w:val="20"/>
              </w:rPr>
              <w:t xml:space="preserve"> y fuente</w:t>
            </w:r>
            <w:r w:rsidR="00B06BB1" w:rsidRPr="009811C6">
              <w:rPr>
                <w:rFonts w:ascii="Source Sans Pro Regular" w:hAnsi="Source Sans Pro Regular"/>
                <w:b/>
                <w:color w:val="FFFFFF" w:themeColor="background1"/>
                <w:sz w:val="20"/>
                <w:szCs w:val="20"/>
              </w:rPr>
              <w:t>s</w:t>
            </w:r>
          </w:p>
        </w:tc>
        <w:tc>
          <w:tcPr>
            <w:tcW w:w="5528" w:type="dxa"/>
            <w:shd w:val="solid" w:color="008000" w:fill="auto"/>
          </w:tcPr>
          <w:p w14:paraId="4219C575" w14:textId="77777777" w:rsidR="00F82798" w:rsidRPr="009811C6" w:rsidRDefault="000A63FB">
            <w:pPr>
              <w:pStyle w:val="Normal1"/>
              <w:rPr>
                <w:rFonts w:ascii="Source Sans Pro Regular" w:hAnsi="Source Sans Pro Regular"/>
                <w:b/>
                <w:color w:val="FFFFFF" w:themeColor="background1"/>
                <w:sz w:val="20"/>
                <w:szCs w:val="20"/>
              </w:rPr>
            </w:pPr>
            <w:r w:rsidRPr="009811C6">
              <w:rPr>
                <w:rFonts w:ascii="Source Sans Pro Regular" w:hAnsi="Source Sans Pro Regular"/>
                <w:b/>
                <w:color w:val="FFFFFF" w:themeColor="background1"/>
                <w:sz w:val="20"/>
                <w:szCs w:val="20"/>
              </w:rPr>
              <w:t>Indicadores</w:t>
            </w:r>
          </w:p>
        </w:tc>
        <w:tc>
          <w:tcPr>
            <w:tcW w:w="2410" w:type="dxa"/>
            <w:shd w:val="solid" w:color="008000" w:fill="auto"/>
          </w:tcPr>
          <w:p w14:paraId="71B8ED32" w14:textId="1F278639" w:rsidR="00F82798" w:rsidRPr="009811C6" w:rsidRDefault="00111AC1">
            <w:pPr>
              <w:pStyle w:val="Normal1"/>
              <w:rPr>
                <w:rFonts w:ascii="Source Sans Pro Regular" w:hAnsi="Source Sans Pro Regular"/>
                <w:b/>
                <w:color w:val="FFFFFF" w:themeColor="background1"/>
                <w:sz w:val="20"/>
                <w:szCs w:val="20"/>
              </w:rPr>
            </w:pPr>
            <w:r w:rsidRPr="009811C6">
              <w:rPr>
                <w:rFonts w:ascii="Source Sans Pro Regular" w:hAnsi="Source Sans Pro Regular"/>
                <w:b/>
                <w:color w:val="FFFFFF" w:themeColor="background1"/>
                <w:sz w:val="20"/>
                <w:szCs w:val="20"/>
              </w:rPr>
              <w:t>Metas</w:t>
            </w:r>
          </w:p>
        </w:tc>
      </w:tr>
      <w:tr w:rsidR="00F82798" w:rsidRPr="002C0FBF" w14:paraId="28DB4F95" w14:textId="77777777" w:rsidTr="004D43EE">
        <w:tc>
          <w:tcPr>
            <w:tcW w:w="2174" w:type="dxa"/>
          </w:tcPr>
          <w:p w14:paraId="1FCDA9EF" w14:textId="77777777" w:rsidR="00F82798" w:rsidRPr="00BB0620" w:rsidRDefault="000A63FB">
            <w:pPr>
              <w:pStyle w:val="Normal1"/>
              <w:rPr>
                <w:rFonts w:ascii="Source Sans Pro Regular" w:hAnsi="Source Sans Pro Regular"/>
                <w:b/>
                <w:color w:val="898D8D"/>
                <w:sz w:val="20"/>
                <w:szCs w:val="20"/>
              </w:rPr>
            </w:pPr>
            <w:r w:rsidRPr="00BB0620">
              <w:rPr>
                <w:rFonts w:ascii="Source Sans Pro Regular" w:hAnsi="Source Sans Pro Regular"/>
                <w:b/>
                <w:color w:val="898D8D"/>
                <w:sz w:val="20"/>
                <w:szCs w:val="20"/>
              </w:rPr>
              <w:t>Envejecimiento de la población</w:t>
            </w:r>
          </w:p>
          <w:p w14:paraId="2FFD0BB1" w14:textId="77777777" w:rsidR="00F82798" w:rsidRPr="002C0FBF" w:rsidRDefault="00F82798">
            <w:pPr>
              <w:pStyle w:val="Normal1"/>
              <w:rPr>
                <w:rFonts w:ascii="Source Sans Pro Regular" w:hAnsi="Source Sans Pro Regular"/>
                <w:color w:val="898D8D"/>
                <w:sz w:val="20"/>
                <w:szCs w:val="20"/>
              </w:rPr>
            </w:pPr>
          </w:p>
          <w:p w14:paraId="19B66549" w14:textId="5E09CAC1" w:rsidR="00F82798" w:rsidRPr="002C0FBF" w:rsidRDefault="000A63FB" w:rsidP="00BD1AE4">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Fuentes: </w:t>
            </w:r>
            <w:r w:rsidR="00B463D5">
              <w:rPr>
                <w:rFonts w:ascii="Source Sans Pro Regular" w:hAnsi="Source Sans Pro Regular"/>
                <w:color w:val="898D8D"/>
                <w:sz w:val="20"/>
                <w:szCs w:val="20"/>
              </w:rPr>
              <w:t xml:space="preserve">Diagnóstico </w:t>
            </w:r>
            <w:r w:rsidRPr="002C0FBF">
              <w:rPr>
                <w:rFonts w:ascii="Source Sans Pro Regular" w:hAnsi="Source Sans Pro Regular"/>
                <w:color w:val="898D8D"/>
                <w:sz w:val="20"/>
                <w:szCs w:val="20"/>
              </w:rPr>
              <w:t xml:space="preserve">(cuadro 1.10 y 1.11) </w:t>
            </w:r>
          </w:p>
        </w:tc>
        <w:tc>
          <w:tcPr>
            <w:tcW w:w="5528" w:type="dxa"/>
          </w:tcPr>
          <w:p w14:paraId="05586F26" w14:textId="27D8ED58" w:rsidR="00F82798" w:rsidRPr="002C0FBF" w:rsidRDefault="000A63FB" w:rsidP="001E3860">
            <w:pPr>
              <w:pStyle w:val="Normal1"/>
              <w:numPr>
                <w:ilvl w:val="0"/>
                <w:numId w:val="9"/>
              </w:numPr>
              <w:pBdr>
                <w:top w:val="nil"/>
                <w:left w:val="nil"/>
                <w:bottom w:val="nil"/>
                <w:right w:val="nil"/>
                <w:between w:val="nil"/>
              </w:pBdr>
              <w:spacing w:after="60"/>
              <w:ind w:left="412" w:hanging="283"/>
              <w:rPr>
                <w:rFonts w:ascii="Source Sans Pro Regular" w:hAnsi="Source Sans Pro Regular"/>
                <w:color w:val="898D8D"/>
                <w:sz w:val="20"/>
                <w:szCs w:val="20"/>
              </w:rPr>
            </w:pPr>
            <w:r w:rsidRPr="002C0FBF">
              <w:rPr>
                <w:rFonts w:ascii="Source Sans Pro Regular" w:hAnsi="Source Sans Pro Regular"/>
                <w:color w:val="898D8D"/>
                <w:sz w:val="20"/>
                <w:szCs w:val="20"/>
              </w:rPr>
              <w:t>Entre 2000 y 2015</w:t>
            </w:r>
            <w:r w:rsidR="00D613A3">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el número de niños y niñas </w:t>
            </w:r>
            <w:r w:rsidR="00D613A3">
              <w:rPr>
                <w:rFonts w:ascii="Source Sans Pro Regular" w:hAnsi="Source Sans Pro Regular"/>
                <w:color w:val="898D8D"/>
                <w:sz w:val="20"/>
                <w:szCs w:val="20"/>
              </w:rPr>
              <w:t xml:space="preserve">(0 a 17 años) </w:t>
            </w:r>
            <w:r w:rsidRPr="002C0FBF">
              <w:rPr>
                <w:rFonts w:ascii="Source Sans Pro Regular" w:hAnsi="Source Sans Pro Regular"/>
                <w:color w:val="898D8D"/>
                <w:sz w:val="20"/>
                <w:szCs w:val="20"/>
              </w:rPr>
              <w:t xml:space="preserve">ha caído 21% (de 2.7 a 2.1 millones) y el de </w:t>
            </w:r>
            <w:r w:rsidR="00D613A3">
              <w:rPr>
                <w:rFonts w:ascii="Source Sans Pro Regular" w:hAnsi="Source Sans Pro Regular"/>
                <w:color w:val="898D8D"/>
                <w:sz w:val="20"/>
                <w:szCs w:val="20"/>
              </w:rPr>
              <w:t xml:space="preserve">las </w:t>
            </w:r>
            <w:r w:rsidRPr="002C0FBF">
              <w:rPr>
                <w:rFonts w:ascii="Source Sans Pro Regular" w:hAnsi="Source Sans Pro Regular"/>
                <w:color w:val="898D8D"/>
                <w:sz w:val="20"/>
                <w:szCs w:val="20"/>
              </w:rPr>
              <w:t xml:space="preserve">personas adultas mayores </w:t>
            </w:r>
            <w:r w:rsidR="00D613A3">
              <w:rPr>
                <w:rFonts w:ascii="Source Sans Pro Regular" w:hAnsi="Source Sans Pro Regular"/>
                <w:color w:val="898D8D"/>
                <w:sz w:val="20"/>
                <w:szCs w:val="20"/>
              </w:rPr>
              <w:t xml:space="preserve">(60 años y más) </w:t>
            </w:r>
            <w:r w:rsidRPr="002C0FBF">
              <w:rPr>
                <w:rFonts w:ascii="Source Sans Pro Regular" w:hAnsi="Source Sans Pro Regular"/>
                <w:color w:val="898D8D"/>
                <w:sz w:val="20"/>
                <w:szCs w:val="20"/>
              </w:rPr>
              <w:t>ha aumentado 74.7% (de 730,640 a 1.3 millones).</w:t>
            </w:r>
          </w:p>
          <w:p w14:paraId="2CACBF2D" w14:textId="0CA82ABA" w:rsidR="00F82798" w:rsidRPr="002C0FBF" w:rsidRDefault="00CE2B1F" w:rsidP="001E3860">
            <w:pPr>
              <w:pStyle w:val="Normal1"/>
              <w:numPr>
                <w:ilvl w:val="0"/>
                <w:numId w:val="9"/>
              </w:numPr>
              <w:pBdr>
                <w:top w:val="nil"/>
                <w:left w:val="nil"/>
                <w:bottom w:val="nil"/>
                <w:right w:val="nil"/>
                <w:between w:val="nil"/>
              </w:pBdr>
              <w:spacing w:after="60"/>
              <w:ind w:left="412" w:hanging="283"/>
              <w:rPr>
                <w:rFonts w:ascii="Source Sans Pro Regular" w:hAnsi="Source Sans Pro Regular"/>
                <w:color w:val="898D8D"/>
                <w:sz w:val="20"/>
                <w:szCs w:val="20"/>
              </w:rPr>
            </w:pPr>
            <w:r>
              <w:rPr>
                <w:rFonts w:ascii="Source Sans Pro Regular" w:hAnsi="Source Sans Pro Regular"/>
                <w:color w:val="898D8D"/>
                <w:sz w:val="20"/>
                <w:szCs w:val="20"/>
              </w:rPr>
              <w:t>Entre 2000 y 2015, e</w:t>
            </w:r>
            <w:r w:rsidR="000A63FB" w:rsidRPr="002C0FBF">
              <w:rPr>
                <w:rFonts w:ascii="Source Sans Pro Regular" w:hAnsi="Source Sans Pro Regular"/>
                <w:color w:val="898D8D"/>
                <w:sz w:val="20"/>
                <w:szCs w:val="20"/>
              </w:rPr>
              <w:t>l porcentaje de población adulta mayor ha pasado de 8.5% a 14.3%.</w:t>
            </w:r>
          </w:p>
          <w:p w14:paraId="7A2EE7ED" w14:textId="2EE54E6C" w:rsidR="00F82798" w:rsidRPr="002C0FBF" w:rsidRDefault="000A63FB" w:rsidP="001E3860">
            <w:pPr>
              <w:pStyle w:val="Normal1"/>
              <w:numPr>
                <w:ilvl w:val="0"/>
                <w:numId w:val="9"/>
              </w:numPr>
              <w:pBdr>
                <w:top w:val="nil"/>
                <w:left w:val="nil"/>
                <w:bottom w:val="nil"/>
                <w:right w:val="nil"/>
                <w:between w:val="nil"/>
              </w:pBdr>
              <w:spacing w:after="60"/>
              <w:ind w:left="412" w:hanging="283"/>
              <w:rPr>
                <w:rFonts w:ascii="Source Sans Pro Regular" w:hAnsi="Source Sans Pro Regular"/>
                <w:color w:val="898D8D"/>
                <w:sz w:val="20"/>
                <w:szCs w:val="20"/>
              </w:rPr>
            </w:pPr>
            <w:r w:rsidRPr="002C0FBF">
              <w:rPr>
                <w:rFonts w:ascii="Source Sans Pro Regular" w:hAnsi="Source Sans Pro Regular"/>
                <w:color w:val="898D8D"/>
                <w:sz w:val="20"/>
                <w:szCs w:val="20"/>
              </w:rPr>
              <w:t>En todas las alcaldías ha aumentado el peso relativo de las personas adultas mayores y ha disminuido el de los niños y las niñas.</w:t>
            </w:r>
          </w:p>
          <w:p w14:paraId="74847358" w14:textId="3DFF4131" w:rsidR="00F82798" w:rsidRPr="002C0FBF" w:rsidRDefault="000A63FB" w:rsidP="001E3860">
            <w:pPr>
              <w:pStyle w:val="Normal1"/>
              <w:numPr>
                <w:ilvl w:val="0"/>
                <w:numId w:val="9"/>
              </w:numPr>
              <w:pBdr>
                <w:top w:val="nil"/>
                <w:left w:val="nil"/>
                <w:bottom w:val="nil"/>
                <w:right w:val="nil"/>
                <w:between w:val="nil"/>
              </w:pBdr>
              <w:spacing w:after="60"/>
              <w:ind w:left="412" w:hanging="283"/>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En algunas alcaldías es particularmente notable el crecimiento del porcentaje de la población </w:t>
            </w:r>
            <w:r w:rsidR="00D613A3">
              <w:rPr>
                <w:rFonts w:ascii="Source Sans Pro Regular" w:hAnsi="Source Sans Pro Regular"/>
                <w:color w:val="898D8D"/>
                <w:sz w:val="20"/>
                <w:szCs w:val="20"/>
              </w:rPr>
              <w:t xml:space="preserve">adulta mayor </w:t>
            </w:r>
            <w:r w:rsidRPr="002C0FBF">
              <w:rPr>
                <w:rFonts w:ascii="Source Sans Pro Regular" w:hAnsi="Source Sans Pro Regular"/>
                <w:color w:val="898D8D"/>
                <w:sz w:val="20"/>
                <w:szCs w:val="20"/>
              </w:rPr>
              <w:t>entre 2000 y 2015: C</w:t>
            </w:r>
            <w:r w:rsidR="00F14C36">
              <w:rPr>
                <w:rFonts w:ascii="Source Sans Pro Regular" w:hAnsi="Source Sans Pro Regular"/>
                <w:color w:val="898D8D"/>
                <w:sz w:val="20"/>
                <w:szCs w:val="20"/>
              </w:rPr>
              <w:t xml:space="preserve">oyoacán </w:t>
            </w:r>
            <w:r w:rsidRPr="002C0FBF">
              <w:rPr>
                <w:rFonts w:ascii="Source Sans Pro Regular" w:hAnsi="Source Sans Pro Regular"/>
                <w:color w:val="898D8D"/>
                <w:sz w:val="20"/>
                <w:szCs w:val="20"/>
              </w:rPr>
              <w:t>(ha crecido 8.5 puntos, de 9.5 a 17.9%), A</w:t>
            </w:r>
            <w:r w:rsidR="00F14C36">
              <w:rPr>
                <w:rFonts w:ascii="Source Sans Pro Regular" w:hAnsi="Source Sans Pro Regular"/>
                <w:color w:val="898D8D"/>
                <w:sz w:val="20"/>
                <w:szCs w:val="20"/>
              </w:rPr>
              <w:t xml:space="preserve">zcapotzalco </w:t>
            </w:r>
            <w:r w:rsidRPr="002C0FBF">
              <w:rPr>
                <w:rFonts w:ascii="Source Sans Pro Regular" w:hAnsi="Source Sans Pro Regular"/>
                <w:color w:val="898D8D"/>
                <w:sz w:val="20"/>
                <w:szCs w:val="20"/>
              </w:rPr>
              <w:t>(de 9.9 a 17.0%), T</w:t>
            </w:r>
            <w:r w:rsidR="00F14C36">
              <w:rPr>
                <w:rFonts w:ascii="Source Sans Pro Regular" w:hAnsi="Source Sans Pro Regular"/>
                <w:color w:val="898D8D"/>
                <w:sz w:val="20"/>
                <w:szCs w:val="20"/>
              </w:rPr>
              <w:t xml:space="preserve">lalpan </w:t>
            </w:r>
            <w:r w:rsidRPr="002C0FBF">
              <w:rPr>
                <w:rFonts w:ascii="Source Sans Pro Regular" w:hAnsi="Source Sans Pro Regular"/>
                <w:color w:val="898D8D"/>
                <w:sz w:val="20"/>
                <w:szCs w:val="20"/>
              </w:rPr>
              <w:t>(de 6.7 a 13.2%), G</w:t>
            </w:r>
            <w:r w:rsidR="00F14C36">
              <w:rPr>
                <w:rFonts w:ascii="Source Sans Pro Regular" w:hAnsi="Source Sans Pro Regular"/>
                <w:color w:val="898D8D"/>
                <w:sz w:val="20"/>
                <w:szCs w:val="20"/>
              </w:rPr>
              <w:t xml:space="preserve">ustavo </w:t>
            </w:r>
            <w:r w:rsidRPr="002C0FBF">
              <w:rPr>
                <w:rFonts w:ascii="Source Sans Pro Regular" w:hAnsi="Source Sans Pro Regular"/>
                <w:color w:val="898D8D"/>
                <w:sz w:val="20"/>
                <w:szCs w:val="20"/>
              </w:rPr>
              <w:t>A</w:t>
            </w:r>
            <w:r w:rsidR="00F14C36">
              <w:rPr>
                <w:rFonts w:ascii="Source Sans Pro Regular" w:hAnsi="Source Sans Pro Regular"/>
                <w:color w:val="898D8D"/>
                <w:sz w:val="20"/>
                <w:szCs w:val="20"/>
              </w:rPr>
              <w:t xml:space="preserve">. </w:t>
            </w:r>
            <w:r w:rsidRPr="002C0FBF">
              <w:rPr>
                <w:rFonts w:ascii="Source Sans Pro Regular" w:hAnsi="Source Sans Pro Regular"/>
                <w:color w:val="898D8D"/>
                <w:sz w:val="20"/>
                <w:szCs w:val="20"/>
              </w:rPr>
              <w:t>M</w:t>
            </w:r>
            <w:r w:rsidR="00F14C36">
              <w:rPr>
                <w:rFonts w:ascii="Source Sans Pro Regular" w:hAnsi="Source Sans Pro Regular"/>
                <w:color w:val="898D8D"/>
                <w:sz w:val="20"/>
                <w:szCs w:val="20"/>
              </w:rPr>
              <w:t>adero</w:t>
            </w:r>
            <w:r w:rsidRPr="002C0FBF">
              <w:rPr>
                <w:rFonts w:ascii="Source Sans Pro Regular" w:hAnsi="Source Sans Pro Regular"/>
                <w:color w:val="898D8D"/>
                <w:sz w:val="20"/>
                <w:szCs w:val="20"/>
              </w:rPr>
              <w:t xml:space="preserve"> (de 9.2 a 15.8%) e I</w:t>
            </w:r>
            <w:r w:rsidR="00F14C36">
              <w:rPr>
                <w:rFonts w:ascii="Source Sans Pro Regular" w:hAnsi="Source Sans Pro Regular"/>
                <w:color w:val="898D8D"/>
                <w:sz w:val="20"/>
                <w:szCs w:val="20"/>
              </w:rPr>
              <w:t xml:space="preserve">ztapalapa </w:t>
            </w:r>
            <w:r w:rsidRPr="002C0FBF">
              <w:rPr>
                <w:rFonts w:ascii="Source Sans Pro Regular" w:hAnsi="Source Sans Pro Regular"/>
                <w:color w:val="898D8D"/>
                <w:sz w:val="20"/>
                <w:szCs w:val="20"/>
              </w:rPr>
              <w:t>(de 6.0 a 12.2%).</w:t>
            </w:r>
          </w:p>
          <w:p w14:paraId="1849E7BD" w14:textId="319ACC46" w:rsidR="00F82798" w:rsidRPr="002C0FBF" w:rsidRDefault="000A63FB" w:rsidP="001E3860">
            <w:pPr>
              <w:pStyle w:val="Normal1"/>
              <w:numPr>
                <w:ilvl w:val="0"/>
                <w:numId w:val="9"/>
              </w:numPr>
              <w:pBdr>
                <w:top w:val="nil"/>
                <w:left w:val="nil"/>
                <w:bottom w:val="nil"/>
                <w:right w:val="nil"/>
                <w:between w:val="nil"/>
              </w:pBdr>
              <w:spacing w:after="60"/>
              <w:ind w:left="412" w:hanging="283"/>
              <w:rPr>
                <w:rFonts w:ascii="Source Sans Pro Regular" w:hAnsi="Source Sans Pro Regular"/>
                <w:color w:val="898D8D"/>
                <w:sz w:val="20"/>
                <w:szCs w:val="20"/>
              </w:rPr>
            </w:pPr>
            <w:r w:rsidRPr="002C0FBF">
              <w:rPr>
                <w:rFonts w:ascii="Source Sans Pro Regular" w:hAnsi="Source Sans Pro Regular"/>
                <w:color w:val="898D8D"/>
                <w:sz w:val="20"/>
                <w:szCs w:val="20"/>
              </w:rPr>
              <w:t>B</w:t>
            </w:r>
            <w:r w:rsidR="00F14C36">
              <w:rPr>
                <w:rFonts w:ascii="Source Sans Pro Regular" w:hAnsi="Source Sans Pro Regular"/>
                <w:color w:val="898D8D"/>
                <w:sz w:val="20"/>
                <w:szCs w:val="20"/>
              </w:rPr>
              <w:t xml:space="preserve">enito </w:t>
            </w:r>
            <w:r w:rsidRPr="002C0FBF">
              <w:rPr>
                <w:rFonts w:ascii="Source Sans Pro Regular" w:hAnsi="Source Sans Pro Regular"/>
                <w:color w:val="898D8D"/>
                <w:sz w:val="20"/>
                <w:szCs w:val="20"/>
              </w:rPr>
              <w:t>J</w:t>
            </w:r>
            <w:r w:rsidR="00F14C36">
              <w:rPr>
                <w:rFonts w:ascii="Source Sans Pro Regular" w:hAnsi="Source Sans Pro Regular"/>
                <w:color w:val="898D8D"/>
                <w:sz w:val="20"/>
                <w:szCs w:val="20"/>
              </w:rPr>
              <w:t>uárez</w:t>
            </w:r>
            <w:r w:rsidRPr="002C0FBF">
              <w:rPr>
                <w:rFonts w:ascii="Source Sans Pro Regular" w:hAnsi="Source Sans Pro Regular"/>
                <w:color w:val="898D8D"/>
                <w:sz w:val="20"/>
                <w:szCs w:val="20"/>
              </w:rPr>
              <w:t xml:space="preserve"> (2015) es la única alcaldía donde el porcentaje de población adulta mayor es más elevado que el de población infantil. </w:t>
            </w:r>
          </w:p>
          <w:p w14:paraId="664BFF5F" w14:textId="0474BCE3" w:rsidR="00F82798" w:rsidRPr="002C0FBF" w:rsidRDefault="000A63FB" w:rsidP="001E3860">
            <w:pPr>
              <w:pStyle w:val="Normal1"/>
              <w:numPr>
                <w:ilvl w:val="0"/>
                <w:numId w:val="9"/>
              </w:numPr>
              <w:pBdr>
                <w:top w:val="nil"/>
                <w:left w:val="nil"/>
                <w:bottom w:val="nil"/>
                <w:right w:val="nil"/>
                <w:between w:val="nil"/>
              </w:pBdr>
              <w:spacing w:after="60"/>
              <w:ind w:left="412" w:hanging="283"/>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En Milpa Alta y Cuajimalpa el porcentaje de población infantil </w:t>
            </w:r>
            <w:r w:rsidR="0010716B">
              <w:rPr>
                <w:rFonts w:ascii="Source Sans Pro Regular" w:hAnsi="Source Sans Pro Regular"/>
                <w:color w:val="898D8D"/>
                <w:sz w:val="20"/>
                <w:szCs w:val="20"/>
              </w:rPr>
              <w:t xml:space="preserve">(32.2 y 27.1% respectivamente) </w:t>
            </w:r>
            <w:r w:rsidRPr="002C0FBF">
              <w:rPr>
                <w:rFonts w:ascii="Source Sans Pro Regular" w:hAnsi="Source Sans Pro Regular"/>
                <w:color w:val="898D8D"/>
                <w:sz w:val="20"/>
                <w:szCs w:val="20"/>
              </w:rPr>
              <w:t xml:space="preserve">es </w:t>
            </w:r>
            <w:r w:rsidR="0010716B">
              <w:rPr>
                <w:rFonts w:ascii="Source Sans Pro Regular" w:hAnsi="Source Sans Pro Regular"/>
                <w:color w:val="898D8D"/>
                <w:sz w:val="20"/>
                <w:szCs w:val="20"/>
              </w:rPr>
              <w:t>mucho</w:t>
            </w:r>
            <w:r w:rsidRPr="002C0FBF">
              <w:rPr>
                <w:rFonts w:ascii="Source Sans Pro Regular" w:hAnsi="Source Sans Pro Regular"/>
                <w:color w:val="898D8D"/>
                <w:sz w:val="20"/>
                <w:szCs w:val="20"/>
              </w:rPr>
              <w:t xml:space="preserve"> </w:t>
            </w:r>
            <w:r w:rsidR="00FC2244">
              <w:rPr>
                <w:rFonts w:ascii="Source Sans Pro Regular" w:hAnsi="Source Sans Pro Regular"/>
                <w:color w:val="898D8D"/>
                <w:sz w:val="20"/>
                <w:szCs w:val="20"/>
              </w:rPr>
              <w:t xml:space="preserve">más </w:t>
            </w:r>
            <w:r w:rsidRPr="002C0FBF">
              <w:rPr>
                <w:rFonts w:ascii="Source Sans Pro Regular" w:hAnsi="Source Sans Pro Regular"/>
                <w:color w:val="898D8D"/>
                <w:sz w:val="20"/>
                <w:szCs w:val="20"/>
              </w:rPr>
              <w:t xml:space="preserve">elevado que el de </w:t>
            </w:r>
            <w:r w:rsidR="00D613A3">
              <w:rPr>
                <w:rFonts w:ascii="Source Sans Pro Regular" w:hAnsi="Source Sans Pro Regular"/>
                <w:color w:val="898D8D"/>
                <w:sz w:val="20"/>
                <w:szCs w:val="20"/>
              </w:rPr>
              <w:t xml:space="preserve">la </w:t>
            </w:r>
            <w:r w:rsidRPr="002C0FBF">
              <w:rPr>
                <w:rFonts w:ascii="Source Sans Pro Regular" w:hAnsi="Source Sans Pro Regular"/>
                <w:color w:val="898D8D"/>
                <w:sz w:val="20"/>
                <w:szCs w:val="20"/>
              </w:rPr>
              <w:t>población adulta mayor</w:t>
            </w:r>
            <w:r w:rsidR="0010716B">
              <w:rPr>
                <w:rFonts w:ascii="Source Sans Pro Regular" w:hAnsi="Source Sans Pro Regular"/>
                <w:color w:val="898D8D"/>
                <w:sz w:val="20"/>
                <w:szCs w:val="20"/>
              </w:rPr>
              <w:t xml:space="preserve"> (8.7 y 9.5%, respectivamente)</w:t>
            </w:r>
            <w:r w:rsidRPr="002C0FBF">
              <w:rPr>
                <w:rFonts w:ascii="Source Sans Pro Regular" w:hAnsi="Source Sans Pro Regular"/>
                <w:color w:val="898D8D"/>
                <w:sz w:val="20"/>
                <w:szCs w:val="20"/>
              </w:rPr>
              <w:t>.</w:t>
            </w:r>
          </w:p>
        </w:tc>
        <w:tc>
          <w:tcPr>
            <w:tcW w:w="2410" w:type="dxa"/>
          </w:tcPr>
          <w:p w14:paraId="0C90C4D1" w14:textId="77777777" w:rsidR="00F82798" w:rsidRPr="002C0FBF" w:rsidRDefault="00F82798">
            <w:pPr>
              <w:pStyle w:val="Normal1"/>
              <w:rPr>
                <w:rFonts w:ascii="Source Sans Pro Regular" w:eastAsia="Times" w:hAnsi="Source Sans Pro Regular" w:cs="Times"/>
                <w:color w:val="898D8D"/>
                <w:sz w:val="20"/>
                <w:szCs w:val="20"/>
              </w:rPr>
            </w:pPr>
          </w:p>
        </w:tc>
      </w:tr>
      <w:tr w:rsidR="00F82798" w:rsidRPr="002C0FBF" w14:paraId="1D9A6F2E" w14:textId="77777777" w:rsidTr="004D43EE">
        <w:tc>
          <w:tcPr>
            <w:tcW w:w="2174" w:type="dxa"/>
          </w:tcPr>
          <w:p w14:paraId="0088CFD0" w14:textId="77777777" w:rsidR="00F82798" w:rsidRPr="004D43EE" w:rsidRDefault="000A63FB">
            <w:pPr>
              <w:pStyle w:val="Normal1"/>
              <w:rPr>
                <w:rFonts w:ascii="Source Sans Pro Regular" w:hAnsi="Source Sans Pro Regular"/>
                <w:b/>
                <w:color w:val="898D8D"/>
                <w:sz w:val="20"/>
                <w:szCs w:val="20"/>
              </w:rPr>
            </w:pPr>
            <w:r w:rsidRPr="004D43EE">
              <w:rPr>
                <w:rFonts w:ascii="Source Sans Pro Regular" w:hAnsi="Source Sans Pro Regular"/>
                <w:b/>
                <w:color w:val="898D8D"/>
                <w:sz w:val="20"/>
                <w:szCs w:val="20"/>
              </w:rPr>
              <w:t>Población en situación de calle</w:t>
            </w:r>
          </w:p>
          <w:p w14:paraId="1B991962" w14:textId="77777777" w:rsidR="00F82798" w:rsidRPr="002C0FBF" w:rsidRDefault="00F82798">
            <w:pPr>
              <w:pStyle w:val="Normal1"/>
              <w:rPr>
                <w:rFonts w:ascii="Source Sans Pro Regular" w:hAnsi="Source Sans Pro Regular"/>
                <w:color w:val="898D8D"/>
                <w:sz w:val="20"/>
                <w:szCs w:val="20"/>
              </w:rPr>
            </w:pPr>
          </w:p>
          <w:p w14:paraId="5B6F8EA1"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lastRenderedPageBreak/>
              <w:t>Fuentes: Diagnóstico (cuadro 1.12)</w:t>
            </w:r>
          </w:p>
        </w:tc>
        <w:tc>
          <w:tcPr>
            <w:tcW w:w="5528" w:type="dxa"/>
          </w:tcPr>
          <w:p w14:paraId="61BFAD83" w14:textId="560BC201" w:rsidR="00F82798" w:rsidRPr="002C0FBF" w:rsidRDefault="000A63FB" w:rsidP="001E3860">
            <w:pPr>
              <w:pStyle w:val="Normal1"/>
              <w:numPr>
                <w:ilvl w:val="0"/>
                <w:numId w:val="9"/>
              </w:numPr>
              <w:pBdr>
                <w:top w:val="nil"/>
                <w:left w:val="nil"/>
                <w:bottom w:val="nil"/>
                <w:right w:val="nil"/>
                <w:between w:val="nil"/>
              </w:pBdr>
              <w:spacing w:after="60"/>
              <w:ind w:left="412" w:hanging="283"/>
              <w:rPr>
                <w:rFonts w:ascii="Source Sans Pro Regular" w:hAnsi="Source Sans Pro Regular"/>
                <w:color w:val="898D8D"/>
                <w:sz w:val="20"/>
                <w:szCs w:val="20"/>
              </w:rPr>
            </w:pPr>
            <w:r w:rsidRPr="002C0FBF">
              <w:rPr>
                <w:rFonts w:ascii="Source Sans Pro Regular" w:hAnsi="Source Sans Pro Regular"/>
                <w:color w:val="898D8D"/>
                <w:sz w:val="20"/>
                <w:szCs w:val="20"/>
              </w:rPr>
              <w:lastRenderedPageBreak/>
              <w:t>En la C</w:t>
            </w:r>
            <w:r w:rsidR="00661C00">
              <w:rPr>
                <w:rFonts w:ascii="Source Sans Pro Regular" w:hAnsi="Source Sans Pro Regular"/>
                <w:color w:val="898D8D"/>
                <w:sz w:val="20"/>
                <w:szCs w:val="20"/>
              </w:rPr>
              <w:t xml:space="preserve">iudad </w:t>
            </w:r>
            <w:r w:rsidRPr="002C0FBF">
              <w:rPr>
                <w:rFonts w:ascii="Source Sans Pro Regular" w:hAnsi="Source Sans Pro Regular"/>
                <w:color w:val="898D8D"/>
                <w:sz w:val="20"/>
                <w:szCs w:val="20"/>
              </w:rPr>
              <w:t xml:space="preserve">hay 6,754 personas en situación de calle (2017). El 34% </w:t>
            </w:r>
            <w:r w:rsidR="006A266D">
              <w:rPr>
                <w:rFonts w:ascii="Source Sans Pro Regular" w:hAnsi="Source Sans Pro Regular"/>
                <w:color w:val="898D8D"/>
                <w:sz w:val="20"/>
                <w:szCs w:val="20"/>
              </w:rPr>
              <w:t xml:space="preserve">de estas personas </w:t>
            </w:r>
            <w:r w:rsidRPr="002C0FBF">
              <w:rPr>
                <w:rFonts w:ascii="Source Sans Pro Regular" w:hAnsi="Source Sans Pro Regular"/>
                <w:color w:val="898D8D"/>
                <w:sz w:val="20"/>
                <w:szCs w:val="20"/>
              </w:rPr>
              <w:t>se encuentra en Cuauhtémoc y G</w:t>
            </w:r>
            <w:r w:rsidR="00661C00">
              <w:rPr>
                <w:rFonts w:ascii="Source Sans Pro Regular" w:hAnsi="Source Sans Pro Regular"/>
                <w:color w:val="898D8D"/>
                <w:sz w:val="20"/>
                <w:szCs w:val="20"/>
              </w:rPr>
              <w:t xml:space="preserve">ustavo </w:t>
            </w:r>
            <w:r w:rsidRPr="002C0FBF">
              <w:rPr>
                <w:rFonts w:ascii="Source Sans Pro Regular" w:hAnsi="Source Sans Pro Regular"/>
                <w:color w:val="898D8D"/>
                <w:sz w:val="20"/>
                <w:szCs w:val="20"/>
              </w:rPr>
              <w:t>A</w:t>
            </w:r>
            <w:r w:rsidR="00661C00">
              <w:rPr>
                <w:rFonts w:ascii="Source Sans Pro Regular" w:hAnsi="Source Sans Pro Regular"/>
                <w:color w:val="898D8D"/>
                <w:sz w:val="20"/>
                <w:szCs w:val="20"/>
              </w:rPr>
              <w:t xml:space="preserve">. </w:t>
            </w:r>
            <w:r w:rsidRPr="002C0FBF">
              <w:rPr>
                <w:rFonts w:ascii="Source Sans Pro Regular" w:hAnsi="Source Sans Pro Regular"/>
                <w:color w:val="898D8D"/>
                <w:sz w:val="20"/>
                <w:szCs w:val="20"/>
              </w:rPr>
              <w:t>M</w:t>
            </w:r>
            <w:r w:rsidR="00661C00">
              <w:rPr>
                <w:rFonts w:ascii="Source Sans Pro Regular" w:hAnsi="Source Sans Pro Regular"/>
                <w:color w:val="898D8D"/>
                <w:sz w:val="20"/>
                <w:szCs w:val="20"/>
              </w:rPr>
              <w:t>adero.</w:t>
            </w:r>
          </w:p>
        </w:tc>
        <w:tc>
          <w:tcPr>
            <w:tcW w:w="2410" w:type="dxa"/>
          </w:tcPr>
          <w:p w14:paraId="117055DB" w14:textId="77777777" w:rsidR="00F82798" w:rsidRPr="002C0FBF" w:rsidRDefault="00F82798">
            <w:pPr>
              <w:pStyle w:val="Normal1"/>
              <w:rPr>
                <w:rFonts w:ascii="Source Sans Pro Regular" w:eastAsia="Times" w:hAnsi="Source Sans Pro Regular" w:cs="Times"/>
                <w:color w:val="898D8D"/>
                <w:sz w:val="20"/>
                <w:szCs w:val="20"/>
              </w:rPr>
            </w:pPr>
          </w:p>
        </w:tc>
      </w:tr>
      <w:tr w:rsidR="00F82798" w:rsidRPr="002C0FBF" w14:paraId="2EA85C2B" w14:textId="77777777" w:rsidTr="004D43EE">
        <w:tc>
          <w:tcPr>
            <w:tcW w:w="2174" w:type="dxa"/>
          </w:tcPr>
          <w:p w14:paraId="48A7E92A" w14:textId="77777777" w:rsidR="00F82798" w:rsidRPr="003D1F44" w:rsidRDefault="000A63FB">
            <w:pPr>
              <w:pStyle w:val="Normal1"/>
              <w:rPr>
                <w:rFonts w:ascii="Source Sans Pro Regular" w:hAnsi="Source Sans Pro Regular"/>
                <w:b/>
                <w:color w:val="898D8D"/>
                <w:sz w:val="20"/>
                <w:szCs w:val="20"/>
              </w:rPr>
            </w:pPr>
            <w:r w:rsidRPr="003D1F44">
              <w:rPr>
                <w:rFonts w:ascii="Source Sans Pro Regular" w:hAnsi="Source Sans Pro Regular"/>
                <w:b/>
                <w:color w:val="898D8D"/>
                <w:sz w:val="20"/>
                <w:szCs w:val="20"/>
              </w:rPr>
              <w:t xml:space="preserve">Población perteneciente a grupos indígenas </w:t>
            </w:r>
          </w:p>
          <w:p w14:paraId="6CA8C599" w14:textId="77777777" w:rsidR="00F82798" w:rsidRPr="002C0FBF" w:rsidRDefault="00F82798">
            <w:pPr>
              <w:pStyle w:val="Normal1"/>
              <w:rPr>
                <w:rFonts w:ascii="Source Sans Pro Regular" w:hAnsi="Source Sans Pro Regular"/>
                <w:color w:val="898D8D"/>
                <w:sz w:val="20"/>
                <w:szCs w:val="20"/>
              </w:rPr>
            </w:pPr>
          </w:p>
          <w:p w14:paraId="21B17A84"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Fuentes: Diagnóstico (cuadro 1.13)</w:t>
            </w:r>
          </w:p>
        </w:tc>
        <w:tc>
          <w:tcPr>
            <w:tcW w:w="5528" w:type="dxa"/>
          </w:tcPr>
          <w:p w14:paraId="36867FCD" w14:textId="77777777" w:rsidR="005C6793" w:rsidRDefault="000A63FB" w:rsidP="001E3860">
            <w:pPr>
              <w:pStyle w:val="Normal1"/>
              <w:numPr>
                <w:ilvl w:val="0"/>
                <w:numId w:val="9"/>
              </w:numPr>
              <w:pBdr>
                <w:top w:val="nil"/>
                <w:left w:val="nil"/>
                <w:bottom w:val="nil"/>
                <w:right w:val="nil"/>
                <w:between w:val="nil"/>
              </w:pBdr>
              <w:spacing w:after="60"/>
              <w:ind w:left="412" w:hanging="283"/>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Hay </w:t>
            </w:r>
            <w:r w:rsidR="008E7975">
              <w:rPr>
                <w:rFonts w:ascii="Source Sans Pro Regular" w:hAnsi="Source Sans Pro Regular"/>
                <w:color w:val="898D8D"/>
                <w:sz w:val="20"/>
                <w:szCs w:val="20"/>
              </w:rPr>
              <w:t xml:space="preserve">aproximadamente </w:t>
            </w:r>
            <w:r w:rsidRPr="002C0FBF">
              <w:rPr>
                <w:rFonts w:ascii="Source Sans Pro Regular" w:hAnsi="Source Sans Pro Regular"/>
                <w:color w:val="898D8D"/>
                <w:sz w:val="20"/>
                <w:szCs w:val="20"/>
              </w:rPr>
              <w:t>1,002,000 personas pertenecientes a pueblos indígenas, que representan el 11.2% de la población total de la C</w:t>
            </w:r>
            <w:r w:rsidR="008E7975">
              <w:rPr>
                <w:rFonts w:ascii="Source Sans Pro Regular" w:hAnsi="Source Sans Pro Regular"/>
                <w:color w:val="898D8D"/>
                <w:sz w:val="20"/>
                <w:szCs w:val="20"/>
              </w:rPr>
              <w:t>iudad</w:t>
            </w:r>
            <w:r w:rsidRPr="002C0FBF">
              <w:rPr>
                <w:rFonts w:ascii="Source Sans Pro Regular" w:hAnsi="Source Sans Pro Regular"/>
                <w:color w:val="898D8D"/>
                <w:sz w:val="20"/>
                <w:szCs w:val="20"/>
              </w:rPr>
              <w:t xml:space="preserve"> (2015).</w:t>
            </w:r>
          </w:p>
          <w:p w14:paraId="4C1AA9AA" w14:textId="12AE8D9B" w:rsidR="00F82798" w:rsidRPr="005C6793" w:rsidRDefault="000A63FB" w:rsidP="001E3860">
            <w:pPr>
              <w:pStyle w:val="Normal1"/>
              <w:numPr>
                <w:ilvl w:val="0"/>
                <w:numId w:val="9"/>
              </w:numPr>
              <w:pBdr>
                <w:top w:val="nil"/>
                <w:left w:val="nil"/>
                <w:bottom w:val="nil"/>
                <w:right w:val="nil"/>
                <w:between w:val="nil"/>
              </w:pBdr>
              <w:spacing w:after="60"/>
              <w:ind w:left="412" w:hanging="283"/>
              <w:rPr>
                <w:rFonts w:ascii="Source Sans Pro Regular" w:hAnsi="Source Sans Pro Regular"/>
                <w:color w:val="898D8D"/>
                <w:sz w:val="20"/>
                <w:szCs w:val="20"/>
              </w:rPr>
            </w:pPr>
            <w:r w:rsidRPr="005C6793">
              <w:rPr>
                <w:rFonts w:ascii="Source Sans Pro Regular" w:hAnsi="Source Sans Pro Regular"/>
                <w:color w:val="898D8D"/>
                <w:sz w:val="20"/>
                <w:szCs w:val="20"/>
              </w:rPr>
              <w:t>El 47.3% de la población indígena (474,000 personas aproximadamente) residen en I</w:t>
            </w:r>
            <w:r w:rsidR="006C1657">
              <w:rPr>
                <w:rFonts w:ascii="Source Sans Pro Regular" w:hAnsi="Source Sans Pro Regular"/>
                <w:color w:val="898D8D"/>
                <w:sz w:val="20"/>
                <w:szCs w:val="20"/>
              </w:rPr>
              <w:t>ztapalapa</w:t>
            </w:r>
            <w:r w:rsidRPr="005C6793">
              <w:rPr>
                <w:rFonts w:ascii="Source Sans Pro Regular" w:hAnsi="Source Sans Pro Regular"/>
                <w:color w:val="898D8D"/>
                <w:sz w:val="20"/>
                <w:szCs w:val="20"/>
              </w:rPr>
              <w:t>, G</w:t>
            </w:r>
            <w:r w:rsidR="006C1657">
              <w:rPr>
                <w:rFonts w:ascii="Source Sans Pro Regular" w:hAnsi="Source Sans Pro Regular"/>
                <w:color w:val="898D8D"/>
                <w:sz w:val="20"/>
                <w:szCs w:val="20"/>
              </w:rPr>
              <w:t xml:space="preserve">ustavo </w:t>
            </w:r>
            <w:r w:rsidRPr="005C6793">
              <w:rPr>
                <w:rFonts w:ascii="Source Sans Pro Regular" w:hAnsi="Source Sans Pro Regular"/>
                <w:color w:val="898D8D"/>
                <w:sz w:val="20"/>
                <w:szCs w:val="20"/>
              </w:rPr>
              <w:t>A</w:t>
            </w:r>
            <w:r w:rsidR="006C1657">
              <w:rPr>
                <w:rFonts w:ascii="Source Sans Pro Regular" w:hAnsi="Source Sans Pro Regular"/>
                <w:color w:val="898D8D"/>
                <w:sz w:val="20"/>
                <w:szCs w:val="20"/>
              </w:rPr>
              <w:t xml:space="preserve">. </w:t>
            </w:r>
            <w:r w:rsidRPr="005C6793">
              <w:rPr>
                <w:rFonts w:ascii="Source Sans Pro Regular" w:hAnsi="Source Sans Pro Regular"/>
                <w:color w:val="898D8D"/>
                <w:sz w:val="20"/>
                <w:szCs w:val="20"/>
              </w:rPr>
              <w:t>M</w:t>
            </w:r>
            <w:r w:rsidR="006C1657">
              <w:rPr>
                <w:rFonts w:ascii="Source Sans Pro Regular" w:hAnsi="Source Sans Pro Regular"/>
                <w:color w:val="898D8D"/>
                <w:sz w:val="20"/>
                <w:szCs w:val="20"/>
              </w:rPr>
              <w:t>adero</w:t>
            </w:r>
            <w:r w:rsidRPr="005C6793">
              <w:rPr>
                <w:rFonts w:ascii="Source Sans Pro Regular" w:hAnsi="Source Sans Pro Regular"/>
                <w:color w:val="898D8D"/>
                <w:sz w:val="20"/>
                <w:szCs w:val="20"/>
              </w:rPr>
              <w:t>, T</w:t>
            </w:r>
            <w:r w:rsidR="006C1657">
              <w:rPr>
                <w:rFonts w:ascii="Source Sans Pro Regular" w:hAnsi="Source Sans Pro Regular"/>
                <w:color w:val="898D8D"/>
                <w:sz w:val="20"/>
                <w:szCs w:val="20"/>
              </w:rPr>
              <w:t xml:space="preserve">lalpan </w:t>
            </w:r>
            <w:r w:rsidRPr="005C6793">
              <w:rPr>
                <w:rFonts w:ascii="Source Sans Pro Regular" w:hAnsi="Source Sans Pro Regular"/>
                <w:color w:val="898D8D"/>
                <w:sz w:val="20"/>
                <w:szCs w:val="20"/>
              </w:rPr>
              <w:t xml:space="preserve">y </w:t>
            </w:r>
            <w:r w:rsidR="006C1657">
              <w:rPr>
                <w:rFonts w:ascii="Source Sans Pro Regular" w:hAnsi="Source Sans Pro Regular"/>
                <w:color w:val="898D8D"/>
                <w:sz w:val="20"/>
                <w:szCs w:val="20"/>
              </w:rPr>
              <w:t>Álvaro Obregón.</w:t>
            </w:r>
          </w:p>
        </w:tc>
        <w:tc>
          <w:tcPr>
            <w:tcW w:w="2410" w:type="dxa"/>
          </w:tcPr>
          <w:p w14:paraId="35EBB5C0" w14:textId="77777777" w:rsidR="00F82798" w:rsidRPr="002C0FBF" w:rsidRDefault="00F82798">
            <w:pPr>
              <w:pStyle w:val="Normal1"/>
              <w:rPr>
                <w:rFonts w:ascii="Source Sans Pro Regular" w:eastAsia="Times" w:hAnsi="Source Sans Pro Regular" w:cs="Times"/>
                <w:color w:val="898D8D"/>
                <w:sz w:val="20"/>
                <w:szCs w:val="20"/>
              </w:rPr>
            </w:pPr>
          </w:p>
        </w:tc>
      </w:tr>
      <w:tr w:rsidR="00F82798" w:rsidRPr="002C0FBF" w14:paraId="2D69DDF4" w14:textId="77777777" w:rsidTr="004D43EE">
        <w:tc>
          <w:tcPr>
            <w:tcW w:w="2174" w:type="dxa"/>
          </w:tcPr>
          <w:p w14:paraId="0BE4BA29" w14:textId="77777777" w:rsidR="00F82798" w:rsidRPr="003E2505" w:rsidRDefault="000A63FB">
            <w:pPr>
              <w:pStyle w:val="Normal1"/>
              <w:rPr>
                <w:rFonts w:ascii="Source Sans Pro Regular" w:hAnsi="Source Sans Pro Regular"/>
                <w:b/>
                <w:color w:val="898D8D"/>
                <w:sz w:val="20"/>
                <w:szCs w:val="20"/>
              </w:rPr>
            </w:pPr>
            <w:r w:rsidRPr="003E2505">
              <w:rPr>
                <w:rFonts w:ascii="Source Sans Pro Regular" w:hAnsi="Source Sans Pro Regular"/>
                <w:b/>
                <w:color w:val="898D8D"/>
                <w:sz w:val="20"/>
                <w:szCs w:val="20"/>
              </w:rPr>
              <w:t xml:space="preserve">Personas con discapacidad </w:t>
            </w:r>
          </w:p>
          <w:p w14:paraId="60C676E2" w14:textId="77777777" w:rsidR="00F82798" w:rsidRPr="003E2505" w:rsidRDefault="00F82798">
            <w:pPr>
              <w:pStyle w:val="Normal1"/>
              <w:rPr>
                <w:rFonts w:ascii="Source Sans Pro Regular" w:hAnsi="Source Sans Pro Regular"/>
                <w:color w:val="898D8D"/>
                <w:sz w:val="20"/>
                <w:szCs w:val="20"/>
              </w:rPr>
            </w:pPr>
          </w:p>
          <w:p w14:paraId="38CB9A96" w14:textId="77777777" w:rsidR="00F82798" w:rsidRPr="003E2505" w:rsidRDefault="000A63FB">
            <w:pPr>
              <w:pStyle w:val="Normal1"/>
              <w:rPr>
                <w:rFonts w:ascii="Source Sans Pro Regular" w:hAnsi="Source Sans Pro Regular"/>
                <w:color w:val="898D8D"/>
                <w:sz w:val="20"/>
                <w:szCs w:val="20"/>
              </w:rPr>
            </w:pPr>
            <w:r w:rsidRPr="003E2505">
              <w:rPr>
                <w:rFonts w:ascii="Source Sans Pro Regular" w:hAnsi="Source Sans Pro Regular"/>
                <w:color w:val="898D8D"/>
                <w:sz w:val="20"/>
                <w:szCs w:val="20"/>
              </w:rPr>
              <w:t>Fuente: ENIGH 2018</w:t>
            </w:r>
          </w:p>
        </w:tc>
        <w:tc>
          <w:tcPr>
            <w:tcW w:w="5528" w:type="dxa"/>
          </w:tcPr>
          <w:p w14:paraId="07251754" w14:textId="380E10AB" w:rsidR="00F82798" w:rsidRDefault="00512279" w:rsidP="001E3860">
            <w:pPr>
              <w:pStyle w:val="Normal1"/>
              <w:numPr>
                <w:ilvl w:val="0"/>
                <w:numId w:val="9"/>
              </w:numPr>
              <w:spacing w:after="60"/>
              <w:ind w:left="412" w:hanging="412"/>
              <w:rPr>
                <w:rFonts w:ascii="Source Sans Pro Regular" w:hAnsi="Source Sans Pro Regular"/>
                <w:color w:val="898D8D"/>
                <w:sz w:val="20"/>
                <w:szCs w:val="20"/>
              </w:rPr>
            </w:pPr>
            <w:r>
              <w:rPr>
                <w:rFonts w:ascii="Source Sans Pro Regular" w:hAnsi="Source Sans Pro Regular"/>
                <w:color w:val="898D8D"/>
                <w:sz w:val="20"/>
                <w:szCs w:val="20"/>
              </w:rPr>
              <w:t>Se estima que</w:t>
            </w:r>
            <w:r w:rsidR="006A266D">
              <w:rPr>
                <w:rFonts w:ascii="Source Sans Pro Regular" w:hAnsi="Source Sans Pro Regular"/>
                <w:color w:val="898D8D"/>
                <w:sz w:val="20"/>
                <w:szCs w:val="20"/>
              </w:rPr>
              <w:t xml:space="preserve"> </w:t>
            </w:r>
            <w:r w:rsidR="000A63FB" w:rsidRPr="003E2505">
              <w:rPr>
                <w:rFonts w:ascii="Source Sans Pro Regular" w:hAnsi="Source Sans Pro Regular"/>
                <w:color w:val="898D8D"/>
                <w:sz w:val="20"/>
                <w:szCs w:val="20"/>
              </w:rPr>
              <w:t xml:space="preserve">el 7.3% de la población de la Ciudad </w:t>
            </w:r>
            <w:r w:rsidR="006A266D">
              <w:rPr>
                <w:rFonts w:ascii="Source Sans Pro Regular" w:hAnsi="Source Sans Pro Regular"/>
                <w:color w:val="898D8D"/>
                <w:sz w:val="20"/>
                <w:szCs w:val="20"/>
              </w:rPr>
              <w:t xml:space="preserve">(ENIGH 2018) </w:t>
            </w:r>
            <w:r w:rsidR="009C45D5">
              <w:rPr>
                <w:rFonts w:ascii="Source Sans Pro Regular" w:hAnsi="Source Sans Pro Regular"/>
                <w:color w:val="898D8D"/>
                <w:sz w:val="20"/>
                <w:szCs w:val="20"/>
              </w:rPr>
              <w:t xml:space="preserve">presenta </w:t>
            </w:r>
            <w:r w:rsidR="000A63FB" w:rsidRPr="003E2505">
              <w:rPr>
                <w:rFonts w:ascii="Source Sans Pro Regular" w:hAnsi="Source Sans Pro Regular"/>
                <w:color w:val="898D8D"/>
                <w:sz w:val="20"/>
                <w:szCs w:val="20"/>
              </w:rPr>
              <w:t xml:space="preserve">alguna dificultad física o mental. Esto quiere decir que 1 de cada 5 hogares (el 19.3%) </w:t>
            </w:r>
            <w:r w:rsidR="009C45D5">
              <w:rPr>
                <w:rFonts w:ascii="Source Sans Pro Regular" w:hAnsi="Source Sans Pro Regular"/>
                <w:color w:val="898D8D"/>
                <w:sz w:val="20"/>
                <w:szCs w:val="20"/>
              </w:rPr>
              <w:t>c</w:t>
            </w:r>
            <w:r w:rsidR="006A266D">
              <w:rPr>
                <w:rFonts w:ascii="Source Sans Pro Regular" w:hAnsi="Source Sans Pro Regular"/>
                <w:color w:val="898D8D"/>
                <w:sz w:val="20"/>
                <w:szCs w:val="20"/>
              </w:rPr>
              <w:t xml:space="preserve">uenta </w:t>
            </w:r>
            <w:r w:rsidR="000A63FB" w:rsidRPr="003E2505">
              <w:rPr>
                <w:rFonts w:ascii="Source Sans Pro Regular" w:hAnsi="Source Sans Pro Regular"/>
                <w:color w:val="898D8D"/>
                <w:sz w:val="20"/>
                <w:szCs w:val="20"/>
              </w:rPr>
              <w:t xml:space="preserve">con al menos un integrante con alguna discapacidad.  </w:t>
            </w:r>
          </w:p>
          <w:p w14:paraId="75F64834" w14:textId="1E10FBB0" w:rsidR="006A266D" w:rsidRPr="003E2505" w:rsidRDefault="006A266D" w:rsidP="006A266D">
            <w:pPr>
              <w:pStyle w:val="Normal1"/>
              <w:rPr>
                <w:rFonts w:ascii="Source Sans Pro Regular" w:hAnsi="Source Sans Pro Regular"/>
                <w:color w:val="898D8D"/>
                <w:sz w:val="20"/>
                <w:szCs w:val="20"/>
              </w:rPr>
            </w:pPr>
            <w:r>
              <w:rPr>
                <w:rFonts w:ascii="Source Sans Pro Regular" w:hAnsi="Source Sans Pro Regular"/>
                <w:i/>
                <w:color w:val="898D8D"/>
                <w:sz w:val="20"/>
                <w:szCs w:val="20"/>
              </w:rPr>
              <w:t>N</w:t>
            </w:r>
            <w:r w:rsidRPr="006A266D">
              <w:rPr>
                <w:rFonts w:ascii="Source Sans Pro Regular" w:hAnsi="Source Sans Pro Regular"/>
                <w:i/>
                <w:color w:val="898D8D"/>
                <w:sz w:val="20"/>
                <w:szCs w:val="20"/>
              </w:rPr>
              <w:t>o se presenta el desagregado por tipos de discapacidad por la poca cantidad de observaciones en la encuesta</w:t>
            </w:r>
            <w:r>
              <w:rPr>
                <w:rFonts w:ascii="Source Sans Pro Regular" w:hAnsi="Source Sans Pro Regular"/>
                <w:i/>
                <w:color w:val="898D8D"/>
                <w:sz w:val="20"/>
                <w:szCs w:val="20"/>
              </w:rPr>
              <w:t>.</w:t>
            </w:r>
          </w:p>
        </w:tc>
        <w:tc>
          <w:tcPr>
            <w:tcW w:w="2410" w:type="dxa"/>
          </w:tcPr>
          <w:p w14:paraId="043CD952" w14:textId="77777777" w:rsidR="00F82798" w:rsidRPr="002C0FBF" w:rsidRDefault="00F82798">
            <w:pPr>
              <w:pStyle w:val="Normal1"/>
              <w:rPr>
                <w:rFonts w:ascii="Source Sans Pro Regular" w:hAnsi="Source Sans Pro Regular"/>
                <w:color w:val="898D8D"/>
                <w:sz w:val="20"/>
                <w:szCs w:val="20"/>
              </w:rPr>
            </w:pPr>
          </w:p>
        </w:tc>
      </w:tr>
      <w:tr w:rsidR="00F82798" w:rsidRPr="002C0FBF" w14:paraId="03F8E8FC" w14:textId="77777777" w:rsidTr="004D43EE">
        <w:tc>
          <w:tcPr>
            <w:tcW w:w="2174" w:type="dxa"/>
          </w:tcPr>
          <w:p w14:paraId="5174B833" w14:textId="77777777" w:rsidR="00F82798" w:rsidRPr="00874942" w:rsidRDefault="000A63FB">
            <w:pPr>
              <w:pStyle w:val="Normal1"/>
              <w:rPr>
                <w:rFonts w:ascii="Source Sans Pro Regular" w:hAnsi="Source Sans Pro Regular"/>
                <w:b/>
                <w:color w:val="898D8D"/>
                <w:sz w:val="20"/>
                <w:szCs w:val="20"/>
              </w:rPr>
            </w:pPr>
            <w:r w:rsidRPr="00874942">
              <w:rPr>
                <w:rFonts w:ascii="Source Sans Pro Regular" w:hAnsi="Source Sans Pro Regular"/>
                <w:b/>
                <w:color w:val="898D8D"/>
                <w:sz w:val="20"/>
                <w:szCs w:val="20"/>
              </w:rPr>
              <w:t>Movimientos migratorios internos</w:t>
            </w:r>
          </w:p>
          <w:p w14:paraId="05CB5F36" w14:textId="77777777" w:rsidR="00F82798" w:rsidRPr="002C0FBF" w:rsidRDefault="00F82798">
            <w:pPr>
              <w:pStyle w:val="Normal1"/>
              <w:rPr>
                <w:rFonts w:ascii="Source Sans Pro Regular" w:hAnsi="Source Sans Pro Regular"/>
                <w:color w:val="898D8D"/>
                <w:sz w:val="20"/>
                <w:szCs w:val="20"/>
              </w:rPr>
            </w:pPr>
          </w:p>
          <w:p w14:paraId="6610568F" w14:textId="07E443B5"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Fuentes: Diagnóstico (página 27</w:t>
            </w:r>
            <w:r w:rsidR="00214127">
              <w:rPr>
                <w:rFonts w:ascii="Source Sans Pro Regular" w:hAnsi="Source Sans Pro Regular"/>
                <w:color w:val="898D8D"/>
                <w:sz w:val="20"/>
                <w:szCs w:val="20"/>
              </w:rPr>
              <w:t>; mapa 1.3</w:t>
            </w:r>
            <w:r w:rsidRPr="002C0FBF">
              <w:rPr>
                <w:rFonts w:ascii="Source Sans Pro Regular" w:hAnsi="Source Sans Pro Regular"/>
                <w:color w:val="898D8D"/>
                <w:sz w:val="20"/>
                <w:szCs w:val="20"/>
              </w:rPr>
              <w:t xml:space="preserve">) </w:t>
            </w:r>
          </w:p>
        </w:tc>
        <w:tc>
          <w:tcPr>
            <w:tcW w:w="5528" w:type="dxa"/>
          </w:tcPr>
          <w:p w14:paraId="262B4556" w14:textId="17770F0A" w:rsidR="00F82798" w:rsidRDefault="000A63FB" w:rsidP="001E3860">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Entre 2010 y 2015</w:t>
            </w:r>
            <w:r w:rsidR="004D6092">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w:t>
            </w:r>
            <w:r w:rsidR="00F66660">
              <w:rPr>
                <w:rFonts w:ascii="Source Sans Pro Regular" w:hAnsi="Source Sans Pro Regular"/>
                <w:color w:val="898D8D"/>
                <w:sz w:val="20"/>
                <w:szCs w:val="20"/>
              </w:rPr>
              <w:t>aproximadamente</w:t>
            </w:r>
            <w:r w:rsidRPr="002C0FBF">
              <w:rPr>
                <w:rFonts w:ascii="Source Sans Pro Regular" w:hAnsi="Source Sans Pro Regular"/>
                <w:color w:val="898D8D"/>
                <w:sz w:val="20"/>
                <w:szCs w:val="20"/>
              </w:rPr>
              <w:t xml:space="preserve"> 300,000 personas cambiaron de alcaldía de residencia.</w:t>
            </w:r>
            <w:r w:rsidR="00F66660">
              <w:rPr>
                <w:rFonts w:ascii="Source Sans Pro Regular" w:hAnsi="Source Sans Pro Regular"/>
                <w:color w:val="898D8D"/>
                <w:sz w:val="20"/>
                <w:szCs w:val="20"/>
              </w:rPr>
              <w:t xml:space="preserve"> Los principales flujos migratorios internos (entre alcaldías) correspondieron a los siguientes movimientos: </w:t>
            </w:r>
          </w:p>
          <w:p w14:paraId="0159BDCF" w14:textId="77777777" w:rsidR="00214127" w:rsidRDefault="00214127" w:rsidP="00B358A4">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De Iztapalapa salieron: a Tláhuac 4,072 personas; a Xochimilco 1,064; a Benito Juárez 1,916</w:t>
            </w:r>
            <w:r>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y a Tlalpan 1,281</w:t>
            </w:r>
            <w:r>
              <w:rPr>
                <w:rFonts w:ascii="Source Sans Pro Regular" w:hAnsi="Source Sans Pro Regular"/>
                <w:color w:val="898D8D"/>
                <w:sz w:val="20"/>
                <w:szCs w:val="20"/>
              </w:rPr>
              <w:t>.</w:t>
            </w:r>
          </w:p>
          <w:p w14:paraId="7FB2BBB2" w14:textId="77777777" w:rsidR="00214127" w:rsidRDefault="00214127" w:rsidP="00B358A4">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Llegaron a Benito Juárez procedentes de Iztapalapa 1,916 personas; de Cuauhtémoc 2,316; de Venustiano Carranza 1,587; de Gustavo A. Madero 1,446; y de Tlalpan 1,330.</w:t>
            </w:r>
          </w:p>
          <w:p w14:paraId="1BD591C8" w14:textId="5F018ED0" w:rsidR="008E5087" w:rsidRPr="002C0FBF" w:rsidRDefault="008E5087" w:rsidP="00982F65">
            <w:pPr>
              <w:pStyle w:val="Normal1"/>
              <w:numPr>
                <w:ilvl w:val="0"/>
                <w:numId w:val="8"/>
              </w:numPr>
              <w:spacing w:after="60"/>
              <w:ind w:left="714" w:hanging="357"/>
              <w:rPr>
                <w:rFonts w:ascii="Source Sans Pro Regular" w:hAnsi="Source Sans Pro Regular"/>
                <w:color w:val="898D8D"/>
                <w:sz w:val="20"/>
                <w:szCs w:val="20"/>
              </w:rPr>
            </w:pPr>
            <w:r>
              <w:rPr>
                <w:rFonts w:ascii="Source Sans Pro Regular" w:hAnsi="Source Sans Pro Regular"/>
                <w:color w:val="898D8D"/>
                <w:sz w:val="20"/>
                <w:szCs w:val="20"/>
              </w:rPr>
              <w:t xml:space="preserve">Llegaron a Tlalpan procedentes de Coyoacán 1,545 </w:t>
            </w:r>
            <w:r w:rsidR="006646DD">
              <w:rPr>
                <w:rFonts w:ascii="Source Sans Pro Regular" w:hAnsi="Source Sans Pro Regular"/>
                <w:color w:val="898D8D"/>
                <w:sz w:val="20"/>
                <w:szCs w:val="20"/>
              </w:rPr>
              <w:t>personas</w:t>
            </w:r>
            <w:r>
              <w:rPr>
                <w:rFonts w:ascii="Source Sans Pro Regular" w:hAnsi="Source Sans Pro Regular"/>
                <w:color w:val="898D8D"/>
                <w:sz w:val="20"/>
                <w:szCs w:val="20"/>
              </w:rPr>
              <w:t>, y desde Iztapalapa 1,281.</w:t>
            </w:r>
          </w:p>
        </w:tc>
        <w:tc>
          <w:tcPr>
            <w:tcW w:w="2410" w:type="dxa"/>
          </w:tcPr>
          <w:p w14:paraId="6B46535C" w14:textId="77777777" w:rsidR="00F82798" w:rsidRPr="002C0FBF" w:rsidRDefault="00F82798">
            <w:pPr>
              <w:pStyle w:val="Normal1"/>
              <w:rPr>
                <w:rFonts w:ascii="Source Sans Pro Regular" w:hAnsi="Source Sans Pro Regular"/>
                <w:color w:val="898D8D"/>
                <w:sz w:val="20"/>
                <w:szCs w:val="20"/>
              </w:rPr>
            </w:pPr>
          </w:p>
        </w:tc>
      </w:tr>
    </w:tbl>
    <w:p w14:paraId="40A01DE7" w14:textId="77777777" w:rsidR="00C940E5" w:rsidRDefault="00C940E5"/>
    <w:tbl>
      <w:tblPr>
        <w:tblStyle w:val="a"/>
        <w:tblW w:w="101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4"/>
        <w:gridCol w:w="5481"/>
        <w:gridCol w:w="2457"/>
      </w:tblGrid>
      <w:tr w:rsidR="00F82798" w:rsidRPr="007D7AA1" w14:paraId="0D130ECA" w14:textId="77777777" w:rsidTr="009C2470">
        <w:trPr>
          <w:trHeight w:val="340"/>
        </w:trPr>
        <w:tc>
          <w:tcPr>
            <w:tcW w:w="10112" w:type="dxa"/>
            <w:gridSpan w:val="3"/>
            <w:tcBorders>
              <w:bottom w:val="single" w:sz="4" w:space="0" w:color="000000"/>
            </w:tcBorders>
            <w:shd w:val="solid" w:color="008000" w:fill="auto"/>
            <w:vAlign w:val="center"/>
          </w:tcPr>
          <w:p w14:paraId="739A9A01" w14:textId="6FB0F6D5" w:rsidR="00F82798" w:rsidRPr="007D7AA1" w:rsidRDefault="000A7D33" w:rsidP="000A7D33">
            <w:pPr>
              <w:pStyle w:val="Normal1"/>
              <w:jc w:val="center"/>
              <w:rPr>
                <w:rFonts w:ascii="Source Sans Pro Regular" w:hAnsi="Source Sans Pro Regular"/>
                <w:b/>
                <w:color w:val="FFFFFF" w:themeColor="background1"/>
                <w:sz w:val="20"/>
                <w:szCs w:val="20"/>
              </w:rPr>
            </w:pPr>
            <w:r>
              <w:rPr>
                <w:rFonts w:ascii="Source Sans Pro Regular" w:hAnsi="Source Sans Pro Regular"/>
                <w:b/>
                <w:color w:val="FFFFFF" w:themeColor="background1"/>
                <w:sz w:val="20"/>
                <w:szCs w:val="20"/>
              </w:rPr>
              <w:t xml:space="preserve">(Capítulo 2) </w:t>
            </w:r>
            <w:r w:rsidR="000A63FB" w:rsidRPr="007D7AA1">
              <w:rPr>
                <w:rFonts w:ascii="Source Sans Pro Regular" w:hAnsi="Source Sans Pro Regular"/>
                <w:b/>
                <w:color w:val="FFFFFF" w:themeColor="background1"/>
                <w:sz w:val="20"/>
                <w:szCs w:val="20"/>
              </w:rPr>
              <w:t>O</w:t>
            </w:r>
            <w:r w:rsidR="00791307">
              <w:rPr>
                <w:rFonts w:ascii="Source Sans Pro Regular" w:hAnsi="Source Sans Pro Regular"/>
                <w:b/>
                <w:color w:val="FFFFFF" w:themeColor="background1"/>
                <w:sz w:val="20"/>
                <w:szCs w:val="20"/>
              </w:rPr>
              <w:t>RDENAMIENTO DEL TERRITORIO, ESTRUCTURA URBANA Y HABITABILIDAD</w:t>
            </w:r>
          </w:p>
        </w:tc>
      </w:tr>
      <w:tr w:rsidR="00F82798" w:rsidRPr="009C2470" w14:paraId="526262BA" w14:textId="77777777" w:rsidTr="00CD3C2B">
        <w:tc>
          <w:tcPr>
            <w:tcW w:w="2174" w:type="dxa"/>
            <w:shd w:val="solid" w:color="008000" w:fill="auto"/>
          </w:tcPr>
          <w:p w14:paraId="2F2B2557" w14:textId="77777777" w:rsidR="00F82798" w:rsidRPr="009C2470" w:rsidRDefault="000A63FB">
            <w:pPr>
              <w:pStyle w:val="Normal1"/>
              <w:rPr>
                <w:rFonts w:ascii="Source Sans Pro Regular" w:hAnsi="Source Sans Pro Regular"/>
                <w:b/>
                <w:color w:val="FFFFFF" w:themeColor="background1"/>
                <w:sz w:val="20"/>
                <w:szCs w:val="20"/>
              </w:rPr>
            </w:pPr>
            <w:r w:rsidRPr="009C2470">
              <w:rPr>
                <w:rFonts w:ascii="Source Sans Pro Regular" w:hAnsi="Source Sans Pro Regular"/>
                <w:b/>
                <w:color w:val="FFFFFF" w:themeColor="background1"/>
                <w:sz w:val="20"/>
                <w:szCs w:val="20"/>
              </w:rPr>
              <w:t>Temas y fuente</w:t>
            </w:r>
          </w:p>
        </w:tc>
        <w:tc>
          <w:tcPr>
            <w:tcW w:w="5481" w:type="dxa"/>
            <w:shd w:val="solid" w:color="008000" w:fill="auto"/>
          </w:tcPr>
          <w:p w14:paraId="254438CC" w14:textId="77777777" w:rsidR="00F82798" w:rsidRPr="009C2470" w:rsidRDefault="000A63FB">
            <w:pPr>
              <w:pStyle w:val="Normal1"/>
              <w:rPr>
                <w:rFonts w:ascii="Source Sans Pro Regular" w:hAnsi="Source Sans Pro Regular"/>
                <w:b/>
                <w:color w:val="FFFFFF" w:themeColor="background1"/>
                <w:sz w:val="20"/>
                <w:szCs w:val="20"/>
              </w:rPr>
            </w:pPr>
            <w:r w:rsidRPr="009C2470">
              <w:rPr>
                <w:rFonts w:ascii="Source Sans Pro Regular" w:hAnsi="Source Sans Pro Regular"/>
                <w:b/>
                <w:color w:val="FFFFFF" w:themeColor="background1"/>
                <w:sz w:val="20"/>
                <w:szCs w:val="20"/>
              </w:rPr>
              <w:t>Indicadores</w:t>
            </w:r>
          </w:p>
        </w:tc>
        <w:tc>
          <w:tcPr>
            <w:tcW w:w="2457" w:type="dxa"/>
            <w:shd w:val="solid" w:color="008000" w:fill="auto"/>
          </w:tcPr>
          <w:p w14:paraId="4543BACF" w14:textId="77777777" w:rsidR="00F82798" w:rsidRPr="009C2470" w:rsidRDefault="00F82798">
            <w:pPr>
              <w:pStyle w:val="Normal1"/>
              <w:rPr>
                <w:rFonts w:ascii="Source Sans Pro Regular" w:hAnsi="Source Sans Pro Regular"/>
                <w:color w:val="FFFFFF" w:themeColor="background1"/>
                <w:sz w:val="20"/>
                <w:szCs w:val="20"/>
              </w:rPr>
            </w:pPr>
          </w:p>
        </w:tc>
      </w:tr>
      <w:tr w:rsidR="00F82798" w:rsidRPr="002C0FBF" w14:paraId="7F453E9C" w14:textId="77777777" w:rsidTr="00CD3C2B">
        <w:tc>
          <w:tcPr>
            <w:tcW w:w="2174" w:type="dxa"/>
          </w:tcPr>
          <w:p w14:paraId="23725702" w14:textId="77777777" w:rsidR="00F82798" w:rsidRPr="00571DBD" w:rsidRDefault="000A63FB">
            <w:pPr>
              <w:pStyle w:val="Normal1"/>
              <w:rPr>
                <w:rFonts w:ascii="Source Sans Pro Regular" w:hAnsi="Source Sans Pro Regular"/>
                <w:b/>
                <w:color w:val="898D8D"/>
                <w:sz w:val="20"/>
                <w:szCs w:val="20"/>
              </w:rPr>
            </w:pPr>
            <w:r w:rsidRPr="00571DBD">
              <w:rPr>
                <w:rFonts w:ascii="Source Sans Pro Regular" w:hAnsi="Source Sans Pro Regular"/>
                <w:b/>
                <w:color w:val="898D8D"/>
                <w:sz w:val="20"/>
                <w:szCs w:val="20"/>
              </w:rPr>
              <w:t>Asentamientos urbanos</w:t>
            </w:r>
          </w:p>
          <w:p w14:paraId="7480AE9B" w14:textId="77777777" w:rsidR="00F82798" w:rsidRPr="002C0FBF" w:rsidRDefault="00F82798">
            <w:pPr>
              <w:pStyle w:val="Normal1"/>
              <w:rPr>
                <w:rFonts w:ascii="Source Sans Pro Regular" w:hAnsi="Source Sans Pro Regular"/>
                <w:color w:val="898D8D"/>
                <w:sz w:val="20"/>
                <w:szCs w:val="20"/>
              </w:rPr>
            </w:pPr>
          </w:p>
          <w:p w14:paraId="07B76A12"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Fuentes: Diagnóstico (cuadro 2.1)</w:t>
            </w:r>
          </w:p>
        </w:tc>
        <w:tc>
          <w:tcPr>
            <w:tcW w:w="5481" w:type="dxa"/>
          </w:tcPr>
          <w:p w14:paraId="226CEE76" w14:textId="77777777" w:rsidR="00F82798" w:rsidRPr="002C0FBF" w:rsidRDefault="000A63FB" w:rsidP="009311C6">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De 2000 a 2015 la superficie ocupada por asentamientos irregulares en la Ciudad creció 89.3% (de 14.7 a 27.9 km2). El problema se presenta en mayor medida en Álvaro Obregón, Tláhuac y Xochimilco donde este crecimiento fue de 332.2%, 251.4% y 96.6%, respectivamente.</w:t>
            </w:r>
          </w:p>
        </w:tc>
        <w:tc>
          <w:tcPr>
            <w:tcW w:w="2457" w:type="dxa"/>
          </w:tcPr>
          <w:p w14:paraId="4804E801" w14:textId="77777777" w:rsidR="00F82798" w:rsidRPr="002C0FBF" w:rsidRDefault="00F82798">
            <w:pPr>
              <w:pStyle w:val="Normal1"/>
              <w:rPr>
                <w:rFonts w:ascii="Source Sans Pro Regular" w:hAnsi="Source Sans Pro Regular"/>
                <w:color w:val="898D8D"/>
                <w:sz w:val="20"/>
                <w:szCs w:val="20"/>
              </w:rPr>
            </w:pPr>
          </w:p>
        </w:tc>
      </w:tr>
      <w:tr w:rsidR="00F82798" w:rsidRPr="002C0FBF" w14:paraId="75848EF9" w14:textId="77777777" w:rsidTr="00CD3C2B">
        <w:tc>
          <w:tcPr>
            <w:tcW w:w="2174" w:type="dxa"/>
          </w:tcPr>
          <w:p w14:paraId="1E7FD51E" w14:textId="77777777" w:rsidR="00F82798" w:rsidRPr="00571DBD" w:rsidRDefault="000A63FB">
            <w:pPr>
              <w:pStyle w:val="Normal1"/>
              <w:rPr>
                <w:rFonts w:ascii="Source Sans Pro Regular" w:hAnsi="Source Sans Pro Regular"/>
                <w:b/>
                <w:color w:val="898D8D"/>
                <w:sz w:val="20"/>
                <w:szCs w:val="20"/>
              </w:rPr>
            </w:pPr>
            <w:r w:rsidRPr="00571DBD">
              <w:rPr>
                <w:rFonts w:ascii="Source Sans Pro Regular" w:hAnsi="Source Sans Pro Regular"/>
                <w:b/>
                <w:color w:val="898D8D"/>
                <w:sz w:val="20"/>
                <w:szCs w:val="20"/>
              </w:rPr>
              <w:t>Calidad de la vivienda</w:t>
            </w:r>
          </w:p>
          <w:p w14:paraId="291FAFD9" w14:textId="77777777" w:rsidR="00F82798" w:rsidRPr="00571DBD" w:rsidRDefault="00F82798">
            <w:pPr>
              <w:pStyle w:val="Normal1"/>
              <w:rPr>
                <w:rFonts w:ascii="Source Sans Pro Regular" w:hAnsi="Source Sans Pro Regular"/>
                <w:b/>
                <w:color w:val="898D8D"/>
                <w:sz w:val="20"/>
                <w:szCs w:val="20"/>
              </w:rPr>
            </w:pPr>
          </w:p>
          <w:p w14:paraId="3FA9EA67"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Fuentes: Diagnóstico (cuadro 2.3 y 2.4)</w:t>
            </w:r>
          </w:p>
        </w:tc>
        <w:tc>
          <w:tcPr>
            <w:tcW w:w="5481" w:type="dxa"/>
          </w:tcPr>
          <w:p w14:paraId="528FACA9" w14:textId="77777777" w:rsidR="002E3DDB" w:rsidRDefault="00BB7FDD" w:rsidP="002E3DDB">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 xml:space="preserve">En 2015, </w:t>
            </w:r>
            <w:r w:rsidR="000A63FB" w:rsidRPr="002C0FBF">
              <w:rPr>
                <w:rFonts w:ascii="Source Sans Pro Regular" w:hAnsi="Source Sans Pro Regular"/>
                <w:color w:val="898D8D"/>
                <w:sz w:val="20"/>
                <w:szCs w:val="20"/>
              </w:rPr>
              <w:t xml:space="preserve">40 de cada 100 personas </w:t>
            </w:r>
            <w:r>
              <w:rPr>
                <w:rFonts w:ascii="Source Sans Pro Regular" w:hAnsi="Source Sans Pro Regular"/>
                <w:color w:val="898D8D"/>
                <w:sz w:val="20"/>
                <w:szCs w:val="20"/>
              </w:rPr>
              <w:t xml:space="preserve">de la Ciudad </w:t>
            </w:r>
            <w:r w:rsidR="000A63FB" w:rsidRPr="002C0FBF">
              <w:rPr>
                <w:rFonts w:ascii="Source Sans Pro Regular" w:hAnsi="Source Sans Pro Regular"/>
                <w:color w:val="898D8D"/>
                <w:sz w:val="20"/>
                <w:szCs w:val="20"/>
              </w:rPr>
              <w:t>(</w:t>
            </w:r>
            <w:r>
              <w:rPr>
                <w:rFonts w:ascii="Source Sans Pro Regular" w:hAnsi="Source Sans Pro Regular"/>
                <w:color w:val="898D8D"/>
                <w:sz w:val="20"/>
                <w:szCs w:val="20"/>
              </w:rPr>
              <w:t xml:space="preserve">el </w:t>
            </w:r>
            <w:r w:rsidR="000A63FB" w:rsidRPr="002C0FBF">
              <w:rPr>
                <w:rFonts w:ascii="Source Sans Pro Regular" w:hAnsi="Source Sans Pro Regular"/>
                <w:color w:val="898D8D"/>
                <w:sz w:val="20"/>
                <w:szCs w:val="20"/>
              </w:rPr>
              <w:t>39.6%) habitan en viviendas con pisos precarios (hechos con tierra, cemento o piso firme). El problema está más extendido en Milpa Alta (81.6%); Xochimilco (62.6%); La Magdalena Contreras (61.0%); Tláhuac (60.2%); Iztapalapa (50.4%); Tlalpan (49.7%); Álvaro Obregón (44.2%); Cuajimalpa (43.5%); y Gustavo A. Madero (41.2%).</w:t>
            </w:r>
          </w:p>
          <w:p w14:paraId="79699146" w14:textId="77777777" w:rsidR="006E08A2" w:rsidRDefault="000A63FB" w:rsidP="006E08A2">
            <w:pPr>
              <w:pStyle w:val="Normal1"/>
              <w:numPr>
                <w:ilvl w:val="0"/>
                <w:numId w:val="9"/>
              </w:numPr>
              <w:spacing w:after="60"/>
              <w:ind w:left="414" w:hanging="414"/>
              <w:rPr>
                <w:rFonts w:ascii="Source Sans Pro Regular" w:hAnsi="Source Sans Pro Regular"/>
                <w:color w:val="898D8D"/>
                <w:sz w:val="20"/>
                <w:szCs w:val="20"/>
              </w:rPr>
            </w:pPr>
            <w:r w:rsidRPr="002E3DDB">
              <w:rPr>
                <w:rFonts w:ascii="Source Sans Pro Regular" w:hAnsi="Source Sans Pro Regular"/>
                <w:color w:val="898D8D"/>
                <w:sz w:val="20"/>
                <w:szCs w:val="20"/>
              </w:rPr>
              <w:t>7 de cada 100 personas (</w:t>
            </w:r>
            <w:r w:rsidR="002E3DDB">
              <w:rPr>
                <w:rFonts w:ascii="Source Sans Pro Regular" w:hAnsi="Source Sans Pro Regular"/>
                <w:color w:val="898D8D"/>
                <w:sz w:val="20"/>
                <w:szCs w:val="20"/>
              </w:rPr>
              <w:t xml:space="preserve">el </w:t>
            </w:r>
            <w:r w:rsidRPr="002E3DDB">
              <w:rPr>
                <w:rFonts w:ascii="Source Sans Pro Regular" w:hAnsi="Source Sans Pro Regular"/>
                <w:color w:val="898D8D"/>
                <w:sz w:val="20"/>
                <w:szCs w:val="20"/>
              </w:rPr>
              <w:t xml:space="preserve">6.6%) están en viviendas donde los techos son de calidad inferior a la teja, losa de concreto o bovedilla. Este problema es mayor en Milpa Alta (18.1%); Xochimilco (15.4%); La Magdalena Contreras (12.2%); Tlalpan (9.6%); Tláhuac (8.7%); Iztapalapa </w:t>
            </w:r>
            <w:r w:rsidRPr="002E3DDB">
              <w:rPr>
                <w:rFonts w:ascii="Source Sans Pro Regular" w:hAnsi="Source Sans Pro Regular"/>
                <w:color w:val="898D8D"/>
                <w:sz w:val="20"/>
                <w:szCs w:val="20"/>
              </w:rPr>
              <w:lastRenderedPageBreak/>
              <w:t xml:space="preserve">(7.5%); y </w:t>
            </w:r>
            <w:r w:rsidR="00AD368C" w:rsidRPr="002E3DDB">
              <w:rPr>
                <w:rFonts w:ascii="Source Sans Pro Regular" w:hAnsi="Source Sans Pro Regular"/>
                <w:color w:val="898D8D"/>
                <w:sz w:val="20"/>
                <w:szCs w:val="20"/>
              </w:rPr>
              <w:t>Álvaro</w:t>
            </w:r>
            <w:r w:rsidRPr="002E3DDB">
              <w:rPr>
                <w:rFonts w:ascii="Source Sans Pro Regular" w:hAnsi="Source Sans Pro Regular"/>
                <w:color w:val="898D8D"/>
                <w:sz w:val="20"/>
                <w:szCs w:val="20"/>
              </w:rPr>
              <w:t xml:space="preserve"> Obregón (6.7%). </w:t>
            </w:r>
          </w:p>
          <w:p w14:paraId="1B53A751" w14:textId="60047B90" w:rsidR="00F82798" w:rsidRPr="006E08A2" w:rsidRDefault="000A63FB" w:rsidP="006E08A2">
            <w:pPr>
              <w:pStyle w:val="Normal1"/>
              <w:numPr>
                <w:ilvl w:val="0"/>
                <w:numId w:val="9"/>
              </w:numPr>
              <w:spacing w:after="60"/>
              <w:ind w:left="414" w:hanging="414"/>
              <w:rPr>
                <w:rFonts w:ascii="Source Sans Pro Regular" w:hAnsi="Source Sans Pro Regular"/>
                <w:color w:val="898D8D"/>
                <w:sz w:val="20"/>
                <w:szCs w:val="20"/>
              </w:rPr>
            </w:pPr>
            <w:r w:rsidRPr="006E08A2">
              <w:rPr>
                <w:rFonts w:ascii="Source Sans Pro Regular" w:hAnsi="Source Sans Pro Regular"/>
                <w:color w:val="898D8D"/>
                <w:sz w:val="20"/>
                <w:szCs w:val="20"/>
              </w:rPr>
              <w:t xml:space="preserve">La precariedad simultánea en pisos, techos y paredes </w:t>
            </w:r>
            <w:r w:rsidR="006E08A2">
              <w:rPr>
                <w:rFonts w:ascii="Source Sans Pro Regular" w:hAnsi="Source Sans Pro Regular"/>
                <w:color w:val="898D8D"/>
                <w:sz w:val="20"/>
                <w:szCs w:val="20"/>
              </w:rPr>
              <w:t xml:space="preserve">se presenta en </w:t>
            </w:r>
            <w:r w:rsidRPr="006E08A2">
              <w:rPr>
                <w:rFonts w:ascii="Source Sans Pro Regular" w:hAnsi="Source Sans Pro Regular"/>
                <w:color w:val="898D8D"/>
                <w:sz w:val="20"/>
                <w:szCs w:val="20"/>
              </w:rPr>
              <w:t>13,872 viviendas, ubicadas en Xochimilco (2,877), Tlalpan (2,127), La Magdalena Contreras (1,664) e Iztapalapa (1,562).</w:t>
            </w:r>
          </w:p>
        </w:tc>
        <w:tc>
          <w:tcPr>
            <w:tcW w:w="2457" w:type="dxa"/>
          </w:tcPr>
          <w:p w14:paraId="7346930F" w14:textId="77777777" w:rsidR="00F82798" w:rsidRPr="002C0FBF" w:rsidRDefault="00F82798">
            <w:pPr>
              <w:pStyle w:val="Normal1"/>
              <w:rPr>
                <w:rFonts w:ascii="Source Sans Pro Regular" w:hAnsi="Source Sans Pro Regular"/>
                <w:color w:val="898D8D"/>
                <w:sz w:val="20"/>
                <w:szCs w:val="20"/>
              </w:rPr>
            </w:pPr>
          </w:p>
        </w:tc>
      </w:tr>
      <w:tr w:rsidR="00F82798" w:rsidRPr="002C0FBF" w14:paraId="7AA83838" w14:textId="77777777" w:rsidTr="00CD3C2B">
        <w:tc>
          <w:tcPr>
            <w:tcW w:w="2174" w:type="dxa"/>
          </w:tcPr>
          <w:p w14:paraId="796DCF47" w14:textId="77777777" w:rsidR="00F82798" w:rsidRPr="00A956D8" w:rsidRDefault="000A63FB">
            <w:pPr>
              <w:pStyle w:val="Normal1"/>
              <w:rPr>
                <w:rFonts w:ascii="Source Sans Pro Regular" w:hAnsi="Source Sans Pro Regular"/>
                <w:b/>
                <w:color w:val="898D8D"/>
                <w:sz w:val="20"/>
                <w:szCs w:val="20"/>
              </w:rPr>
            </w:pPr>
            <w:r w:rsidRPr="00A956D8">
              <w:rPr>
                <w:rFonts w:ascii="Source Sans Pro Regular" w:hAnsi="Source Sans Pro Regular"/>
                <w:b/>
                <w:color w:val="898D8D"/>
                <w:sz w:val="20"/>
                <w:szCs w:val="20"/>
              </w:rPr>
              <w:t>Tenencia de la vivienda</w:t>
            </w:r>
          </w:p>
          <w:p w14:paraId="04B5DB7F" w14:textId="77777777" w:rsidR="00F82798" w:rsidRPr="002C0FBF" w:rsidRDefault="00F82798">
            <w:pPr>
              <w:pStyle w:val="Normal1"/>
              <w:rPr>
                <w:rFonts w:ascii="Source Sans Pro Regular" w:hAnsi="Source Sans Pro Regular"/>
                <w:color w:val="898D8D"/>
                <w:sz w:val="20"/>
                <w:szCs w:val="20"/>
              </w:rPr>
            </w:pPr>
          </w:p>
          <w:p w14:paraId="4FB23EA0"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(gráfica 2.2)</w:t>
            </w:r>
          </w:p>
        </w:tc>
        <w:tc>
          <w:tcPr>
            <w:tcW w:w="5481" w:type="dxa"/>
          </w:tcPr>
          <w:p w14:paraId="04194F67" w14:textId="082EE704" w:rsidR="00F82798" w:rsidRPr="002C0FBF" w:rsidRDefault="000A63FB" w:rsidP="00D33F6D">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Existe una falta de acceso al crédito hipotecario entre los hogares de los primeros dos quintiles de ingreso</w:t>
            </w:r>
            <w:r w:rsidR="0046176D">
              <w:rPr>
                <w:rFonts w:ascii="Source Sans Pro Regular" w:hAnsi="Source Sans Pro Regular"/>
                <w:color w:val="898D8D"/>
                <w:sz w:val="20"/>
                <w:szCs w:val="20"/>
              </w:rPr>
              <w:t xml:space="preserve"> (2016)</w:t>
            </w:r>
            <w:r w:rsidRPr="002C0FBF">
              <w:rPr>
                <w:rFonts w:ascii="Source Sans Pro Regular" w:hAnsi="Source Sans Pro Regular"/>
                <w:color w:val="898D8D"/>
                <w:sz w:val="20"/>
                <w:szCs w:val="20"/>
              </w:rPr>
              <w:t xml:space="preserve">: más del 65% de estos hogares (160,426 del primer quintil y 187,675 del segundo quintil) no </w:t>
            </w:r>
            <w:r w:rsidR="0046176D">
              <w:rPr>
                <w:rFonts w:ascii="Source Sans Pro Regular" w:hAnsi="Source Sans Pro Regular"/>
                <w:color w:val="898D8D"/>
                <w:sz w:val="20"/>
                <w:szCs w:val="20"/>
              </w:rPr>
              <w:t xml:space="preserve">cuenta </w:t>
            </w:r>
            <w:r w:rsidRPr="002C0FBF">
              <w:rPr>
                <w:rFonts w:ascii="Source Sans Pro Regular" w:hAnsi="Source Sans Pro Regular"/>
                <w:color w:val="898D8D"/>
                <w:sz w:val="20"/>
                <w:szCs w:val="20"/>
              </w:rPr>
              <w:t>con crédito para la adquisición de la vivienda y depend</w:t>
            </w:r>
            <w:r w:rsidR="0046176D">
              <w:rPr>
                <w:rFonts w:ascii="Source Sans Pro Regular" w:hAnsi="Source Sans Pro Regular"/>
                <w:color w:val="898D8D"/>
                <w:sz w:val="20"/>
                <w:szCs w:val="20"/>
              </w:rPr>
              <w:t>e</w:t>
            </w:r>
            <w:r w:rsidRPr="002C0FBF">
              <w:rPr>
                <w:rFonts w:ascii="Source Sans Pro Regular" w:hAnsi="Source Sans Pro Regular"/>
                <w:color w:val="898D8D"/>
                <w:sz w:val="20"/>
                <w:szCs w:val="20"/>
              </w:rPr>
              <w:t xml:space="preserve"> de sus recursos disponibles (</w:t>
            </w:r>
            <w:r w:rsidR="00D33F6D">
              <w:rPr>
                <w:rFonts w:ascii="Source Sans Pro Regular" w:hAnsi="Source Sans Pro Regular"/>
                <w:color w:val="898D8D"/>
                <w:sz w:val="20"/>
                <w:szCs w:val="20"/>
              </w:rPr>
              <w:t xml:space="preserve">como </w:t>
            </w:r>
            <w:r w:rsidRPr="002C0FBF">
              <w:rPr>
                <w:rFonts w:ascii="Source Sans Pro Regular" w:hAnsi="Source Sans Pro Regular"/>
                <w:color w:val="898D8D"/>
                <w:sz w:val="20"/>
                <w:szCs w:val="20"/>
              </w:rPr>
              <w:t>ahorro</w:t>
            </w:r>
            <w:r w:rsidR="00D33F6D">
              <w:rPr>
                <w:rFonts w:ascii="Source Sans Pro Regular" w:hAnsi="Source Sans Pro Regular"/>
                <w:color w:val="898D8D"/>
                <w:sz w:val="20"/>
                <w:szCs w:val="20"/>
              </w:rPr>
              <w:t xml:space="preserve">s propios) </w:t>
            </w:r>
            <w:r w:rsidRPr="002C0FBF">
              <w:rPr>
                <w:rFonts w:ascii="Source Sans Pro Regular" w:hAnsi="Source Sans Pro Regular"/>
                <w:color w:val="898D8D"/>
                <w:sz w:val="20"/>
                <w:szCs w:val="20"/>
              </w:rPr>
              <w:t>para ello.</w:t>
            </w:r>
          </w:p>
        </w:tc>
        <w:tc>
          <w:tcPr>
            <w:tcW w:w="2457" w:type="dxa"/>
          </w:tcPr>
          <w:p w14:paraId="5A07DCA3" w14:textId="77777777" w:rsidR="00F82798" w:rsidRPr="002C0FBF" w:rsidRDefault="00F82798">
            <w:pPr>
              <w:pStyle w:val="Normal1"/>
              <w:rPr>
                <w:rFonts w:ascii="Source Sans Pro Regular" w:hAnsi="Source Sans Pro Regular"/>
                <w:color w:val="898D8D"/>
                <w:sz w:val="20"/>
                <w:szCs w:val="20"/>
              </w:rPr>
            </w:pPr>
          </w:p>
        </w:tc>
      </w:tr>
      <w:tr w:rsidR="00F82798" w:rsidRPr="002C0FBF" w14:paraId="07F0087F" w14:textId="77777777" w:rsidTr="00CD3C2B">
        <w:tc>
          <w:tcPr>
            <w:tcW w:w="2174" w:type="dxa"/>
          </w:tcPr>
          <w:p w14:paraId="2281C8D6" w14:textId="77777777" w:rsidR="00F82798" w:rsidRPr="005C2427" w:rsidRDefault="000A63FB">
            <w:pPr>
              <w:pStyle w:val="Normal1"/>
              <w:rPr>
                <w:rFonts w:ascii="Source Sans Pro Regular" w:hAnsi="Source Sans Pro Regular"/>
                <w:b/>
                <w:color w:val="898D8D"/>
                <w:sz w:val="20"/>
                <w:szCs w:val="20"/>
              </w:rPr>
            </w:pPr>
            <w:r w:rsidRPr="005C2427">
              <w:rPr>
                <w:rFonts w:ascii="Source Sans Pro Regular" w:hAnsi="Source Sans Pro Regular"/>
                <w:b/>
                <w:color w:val="898D8D"/>
                <w:sz w:val="20"/>
                <w:szCs w:val="20"/>
              </w:rPr>
              <w:t>Servicios: agua</w:t>
            </w:r>
          </w:p>
          <w:p w14:paraId="68028365" w14:textId="77777777" w:rsidR="00F82798" w:rsidRPr="002C0FBF" w:rsidRDefault="00F82798">
            <w:pPr>
              <w:pStyle w:val="Normal1"/>
              <w:rPr>
                <w:rFonts w:ascii="Source Sans Pro Regular" w:hAnsi="Source Sans Pro Regular"/>
                <w:color w:val="898D8D"/>
                <w:sz w:val="20"/>
                <w:szCs w:val="20"/>
              </w:rPr>
            </w:pPr>
          </w:p>
          <w:p w14:paraId="4377A8BC"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(página 40 y gráfica 2.5 y 2.7)</w:t>
            </w:r>
          </w:p>
        </w:tc>
        <w:tc>
          <w:tcPr>
            <w:tcW w:w="5481" w:type="dxa"/>
          </w:tcPr>
          <w:p w14:paraId="6091157A" w14:textId="77777777" w:rsidR="00F82798" w:rsidRPr="002C0FBF" w:rsidRDefault="000A63FB" w:rsidP="00BC2803">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El servicio público de agua en la Ciudad presenta problemas de fugas que ocasionan el desperdicio de más del 40% del agua que se distribuye por la red. </w:t>
            </w:r>
          </w:p>
          <w:p w14:paraId="313A06A4" w14:textId="6AC61BE4" w:rsidR="00F82798" w:rsidRPr="002C0FBF" w:rsidRDefault="000A63FB" w:rsidP="00BC2803">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Existe una sobre explotación del recurso hídrico, pues el agua que se consume en la Ciudad es mayor a la que se puede renovar. Se estima que se requieren más de 345 litros de agua al día por habitante, y sólo 200 litros de agua al día por habitante son renovables. </w:t>
            </w:r>
          </w:p>
          <w:p w14:paraId="7D3AA6AC" w14:textId="5F0267EA" w:rsidR="005C2427" w:rsidRDefault="00755E7A" w:rsidP="00BC2803">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En 2015</w:t>
            </w:r>
            <w:r w:rsidR="000A63FB" w:rsidRPr="002C0FBF">
              <w:rPr>
                <w:rFonts w:ascii="Source Sans Pro Regular" w:hAnsi="Source Sans Pro Regular"/>
                <w:color w:val="898D8D"/>
                <w:sz w:val="20"/>
                <w:szCs w:val="20"/>
              </w:rPr>
              <w:t>, 11 de cada 100 hogares (10.6%) no cuentan con acceso a agua dentro de su vivienda o terreno, sino que la deben acarrear de pozos, llaves comunitarias, de otras viviendas o esperar el abastecimiento de las pipas. Est</w:t>
            </w:r>
            <w:r>
              <w:rPr>
                <w:rFonts w:ascii="Source Sans Pro Regular" w:hAnsi="Source Sans Pro Regular"/>
                <w:color w:val="898D8D"/>
                <w:sz w:val="20"/>
                <w:szCs w:val="20"/>
              </w:rPr>
              <w:t>a</w:t>
            </w:r>
            <w:r w:rsidR="000A63FB" w:rsidRPr="002C0FBF">
              <w:rPr>
                <w:rFonts w:ascii="Source Sans Pro Regular" w:hAnsi="Source Sans Pro Regular"/>
                <w:color w:val="898D8D"/>
                <w:sz w:val="20"/>
                <w:szCs w:val="20"/>
              </w:rPr>
              <w:t xml:space="preserve"> situación es mucho más grave en las siguientes alcaldías: Milpa Alta (43.7%),  Xochimilco (30.4%); Tlalpan (20.2%); Tláhuac (19.7%); Iztapalapa (13.5%); Cuajimalpa (13.1%); y La Magdalena Contrer</w:t>
            </w:r>
            <w:r w:rsidR="005C2427">
              <w:rPr>
                <w:rFonts w:ascii="Source Sans Pro Regular" w:hAnsi="Source Sans Pro Regular"/>
                <w:color w:val="898D8D"/>
                <w:sz w:val="20"/>
                <w:szCs w:val="20"/>
              </w:rPr>
              <w:t>as (12.5%</w:t>
            </w:r>
            <w:r>
              <w:rPr>
                <w:rFonts w:ascii="Source Sans Pro Regular" w:hAnsi="Source Sans Pro Regular"/>
                <w:color w:val="898D8D"/>
                <w:sz w:val="20"/>
                <w:szCs w:val="20"/>
              </w:rPr>
              <w:t>).</w:t>
            </w:r>
          </w:p>
          <w:p w14:paraId="4F9A68CD" w14:textId="5D82922F" w:rsidR="00F82798" w:rsidRPr="005C2427" w:rsidRDefault="000A63FB" w:rsidP="00755E7A">
            <w:pPr>
              <w:pStyle w:val="Normal1"/>
              <w:numPr>
                <w:ilvl w:val="0"/>
                <w:numId w:val="9"/>
              </w:numPr>
              <w:spacing w:after="60"/>
              <w:ind w:left="414" w:hanging="414"/>
              <w:rPr>
                <w:rFonts w:ascii="Source Sans Pro Regular" w:hAnsi="Source Sans Pro Regular"/>
                <w:color w:val="898D8D"/>
                <w:sz w:val="20"/>
                <w:szCs w:val="20"/>
              </w:rPr>
            </w:pPr>
            <w:r w:rsidRPr="005C2427">
              <w:rPr>
                <w:rFonts w:ascii="Source Sans Pro Regular" w:hAnsi="Source Sans Pro Regular"/>
                <w:color w:val="898D8D"/>
                <w:sz w:val="20"/>
                <w:szCs w:val="20"/>
              </w:rPr>
              <w:t>En 2016, sólo el 64.5% de las viviendas del primer quintil de ingresos tienen agua a diario, y el 73.0% de las viviendas del segundo quintil.</w:t>
            </w:r>
          </w:p>
        </w:tc>
        <w:tc>
          <w:tcPr>
            <w:tcW w:w="2457" w:type="dxa"/>
          </w:tcPr>
          <w:p w14:paraId="71B355D0" w14:textId="77777777" w:rsidR="00F82798" w:rsidRPr="002C0FBF" w:rsidRDefault="00F82798">
            <w:pPr>
              <w:pStyle w:val="Normal1"/>
              <w:rPr>
                <w:rFonts w:ascii="Source Sans Pro Regular" w:hAnsi="Source Sans Pro Regular"/>
                <w:color w:val="898D8D"/>
                <w:sz w:val="20"/>
                <w:szCs w:val="20"/>
              </w:rPr>
            </w:pPr>
          </w:p>
        </w:tc>
      </w:tr>
      <w:tr w:rsidR="00F82798" w:rsidRPr="002C0FBF" w14:paraId="11F89ED0" w14:textId="77777777" w:rsidTr="00CD3C2B">
        <w:tc>
          <w:tcPr>
            <w:tcW w:w="2174" w:type="dxa"/>
          </w:tcPr>
          <w:p w14:paraId="1E82B466" w14:textId="4E191150" w:rsidR="00F82798" w:rsidRPr="006266DB" w:rsidRDefault="000A63FB">
            <w:pPr>
              <w:pStyle w:val="Normal1"/>
              <w:rPr>
                <w:rFonts w:ascii="Source Sans Pro Regular" w:hAnsi="Source Sans Pro Regular"/>
                <w:b/>
                <w:color w:val="898D8D"/>
                <w:sz w:val="20"/>
                <w:szCs w:val="20"/>
              </w:rPr>
            </w:pPr>
            <w:r w:rsidRPr="006266DB">
              <w:rPr>
                <w:rFonts w:ascii="Source Sans Pro Regular" w:hAnsi="Source Sans Pro Regular"/>
                <w:b/>
                <w:color w:val="898D8D"/>
                <w:sz w:val="20"/>
                <w:szCs w:val="20"/>
              </w:rPr>
              <w:t>Entorno urbano</w:t>
            </w:r>
          </w:p>
          <w:p w14:paraId="174F72BE" w14:textId="77777777" w:rsidR="00F82798" w:rsidRPr="002C0FBF" w:rsidRDefault="00F82798">
            <w:pPr>
              <w:pStyle w:val="Normal1"/>
              <w:rPr>
                <w:rFonts w:ascii="Source Sans Pro Regular" w:hAnsi="Source Sans Pro Regular"/>
                <w:color w:val="898D8D"/>
                <w:sz w:val="20"/>
                <w:szCs w:val="20"/>
              </w:rPr>
            </w:pPr>
          </w:p>
          <w:p w14:paraId="5DF193A7"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(gráfica 2.9)</w:t>
            </w:r>
          </w:p>
        </w:tc>
        <w:tc>
          <w:tcPr>
            <w:tcW w:w="5481" w:type="dxa"/>
          </w:tcPr>
          <w:p w14:paraId="5FAC7F87" w14:textId="102CC86B" w:rsidR="00F82798" w:rsidRPr="00C55E23" w:rsidRDefault="000A63FB" w:rsidP="00C55E23">
            <w:pPr>
              <w:pStyle w:val="Normal1"/>
              <w:numPr>
                <w:ilvl w:val="0"/>
                <w:numId w:val="9"/>
              </w:numPr>
              <w:spacing w:after="60"/>
              <w:ind w:left="414" w:hanging="414"/>
              <w:rPr>
                <w:rFonts w:ascii="Source Sans Pro Regular" w:hAnsi="Source Sans Pro Regular"/>
                <w:color w:val="898D8D"/>
                <w:sz w:val="20"/>
                <w:szCs w:val="20"/>
              </w:rPr>
            </w:pPr>
            <w:r w:rsidRPr="00C55E23">
              <w:rPr>
                <w:rFonts w:ascii="Source Sans Pro Regular" w:hAnsi="Source Sans Pro Regular"/>
                <w:color w:val="898D8D"/>
                <w:sz w:val="20"/>
                <w:szCs w:val="20"/>
              </w:rPr>
              <w:t>En 2015, el 30.9% de las manzanas de la Ciudad de México no cuenta con alumbra</w:t>
            </w:r>
            <w:r w:rsidR="00C55E23" w:rsidRPr="00C55E23">
              <w:rPr>
                <w:rFonts w:ascii="Source Sans Pro Regular" w:hAnsi="Source Sans Pro Regular"/>
                <w:color w:val="898D8D"/>
                <w:sz w:val="20"/>
                <w:szCs w:val="20"/>
              </w:rPr>
              <w:t>do público en todas sus calles.</w:t>
            </w:r>
            <w:r w:rsidR="00C55E23">
              <w:rPr>
                <w:rFonts w:ascii="Source Sans Pro Regular" w:hAnsi="Source Sans Pro Regular"/>
                <w:color w:val="898D8D"/>
                <w:sz w:val="20"/>
                <w:szCs w:val="20"/>
              </w:rPr>
              <w:t xml:space="preserve"> </w:t>
            </w:r>
            <w:r w:rsidRPr="00C55E23">
              <w:rPr>
                <w:rFonts w:ascii="Source Sans Pro Regular" w:hAnsi="Source Sans Pro Regular"/>
                <w:color w:val="898D8D"/>
                <w:sz w:val="20"/>
                <w:szCs w:val="20"/>
              </w:rPr>
              <w:t>Este porcentaje es más elevado en las siguientes alcaldías: Xochimilco (67.7%); Milpa Alta (59.9%); Cuajimalpa (55.1%); La Magdalena Contreras (46.6%); Álvaro Obregón (41.0%); Tlalpan (39.2%); y Tláhuac (37.4%).</w:t>
            </w:r>
          </w:p>
          <w:p w14:paraId="2C4CA950" w14:textId="77777777" w:rsidR="009D6AD4" w:rsidRDefault="00C55E23" w:rsidP="009D6AD4">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 xml:space="preserve">l  44.4% de las manzanas de la Ciudad </w:t>
            </w:r>
            <w:r>
              <w:rPr>
                <w:rFonts w:ascii="Source Sans Pro Regular" w:hAnsi="Source Sans Pro Regular"/>
                <w:color w:val="898D8D"/>
                <w:sz w:val="20"/>
                <w:szCs w:val="20"/>
              </w:rPr>
              <w:t xml:space="preserve">(2015) </w:t>
            </w:r>
            <w:r w:rsidR="000A63FB" w:rsidRPr="002C0FBF">
              <w:rPr>
                <w:rFonts w:ascii="Source Sans Pro Regular" w:hAnsi="Source Sans Pro Regular"/>
                <w:color w:val="898D8D"/>
                <w:sz w:val="20"/>
                <w:szCs w:val="20"/>
              </w:rPr>
              <w:t>no cuenta con banquetas en todas sus vialidades. En Milpa Alta</w:t>
            </w:r>
            <w:r>
              <w:rPr>
                <w:rFonts w:ascii="Source Sans Pro Regular" w:hAnsi="Source Sans Pro Regular"/>
                <w:color w:val="898D8D"/>
                <w:sz w:val="20"/>
                <w:szCs w:val="20"/>
              </w:rPr>
              <w:t xml:space="preserve">, este porcentaje es del </w:t>
            </w:r>
            <w:r w:rsidR="000A63FB" w:rsidRPr="002C0FBF">
              <w:rPr>
                <w:rFonts w:ascii="Source Sans Pro Regular" w:hAnsi="Source Sans Pro Regular"/>
                <w:color w:val="898D8D"/>
                <w:sz w:val="20"/>
                <w:szCs w:val="20"/>
              </w:rPr>
              <w:t>94.6%; en Xochimilco</w:t>
            </w:r>
            <w:r>
              <w:rPr>
                <w:rFonts w:ascii="Source Sans Pro Regular" w:hAnsi="Source Sans Pro Regular"/>
                <w:color w:val="898D8D"/>
                <w:sz w:val="20"/>
                <w:szCs w:val="20"/>
              </w:rPr>
              <w:t>,</w:t>
            </w:r>
            <w:r w:rsidR="000A63FB" w:rsidRPr="002C0FBF">
              <w:rPr>
                <w:rFonts w:ascii="Source Sans Pro Regular" w:hAnsi="Source Sans Pro Regular"/>
                <w:color w:val="898D8D"/>
                <w:sz w:val="20"/>
                <w:szCs w:val="20"/>
              </w:rPr>
              <w:t xml:space="preserve"> 88%; en </w:t>
            </w:r>
            <w:r>
              <w:rPr>
                <w:rFonts w:ascii="Source Sans Pro Regular" w:hAnsi="Source Sans Pro Regular"/>
                <w:color w:val="898D8D"/>
                <w:sz w:val="20"/>
                <w:szCs w:val="20"/>
              </w:rPr>
              <w:t>L</w:t>
            </w:r>
            <w:r w:rsidR="000A63FB" w:rsidRPr="002C0FBF">
              <w:rPr>
                <w:rFonts w:ascii="Source Sans Pro Regular" w:hAnsi="Source Sans Pro Regular"/>
                <w:color w:val="898D8D"/>
                <w:sz w:val="20"/>
                <w:szCs w:val="20"/>
              </w:rPr>
              <w:t>a Magdalena Contreras</w:t>
            </w:r>
            <w:r>
              <w:rPr>
                <w:rFonts w:ascii="Source Sans Pro Regular" w:hAnsi="Source Sans Pro Regular"/>
                <w:color w:val="898D8D"/>
                <w:sz w:val="20"/>
                <w:szCs w:val="20"/>
              </w:rPr>
              <w:t>,</w:t>
            </w:r>
            <w:r w:rsidR="000A63FB" w:rsidRPr="002C0FBF">
              <w:rPr>
                <w:rFonts w:ascii="Source Sans Pro Regular" w:hAnsi="Source Sans Pro Regular"/>
                <w:color w:val="898D8D"/>
                <w:sz w:val="20"/>
                <w:szCs w:val="20"/>
              </w:rPr>
              <w:t xml:space="preserve"> 84.8%; en Cuajimalpa</w:t>
            </w:r>
            <w:r>
              <w:rPr>
                <w:rFonts w:ascii="Source Sans Pro Regular" w:hAnsi="Source Sans Pro Regular"/>
                <w:color w:val="898D8D"/>
                <w:sz w:val="20"/>
                <w:szCs w:val="20"/>
              </w:rPr>
              <w:t>,</w:t>
            </w:r>
            <w:r w:rsidR="000A63FB" w:rsidRPr="002C0FBF">
              <w:rPr>
                <w:rFonts w:ascii="Source Sans Pro Regular" w:hAnsi="Source Sans Pro Regular"/>
                <w:color w:val="898D8D"/>
                <w:sz w:val="20"/>
                <w:szCs w:val="20"/>
              </w:rPr>
              <w:t xml:space="preserve"> 76.9%; en Tlalpan</w:t>
            </w:r>
            <w:r>
              <w:rPr>
                <w:rFonts w:ascii="Source Sans Pro Regular" w:hAnsi="Source Sans Pro Regular"/>
                <w:color w:val="898D8D"/>
                <w:sz w:val="20"/>
                <w:szCs w:val="20"/>
              </w:rPr>
              <w:t>,</w:t>
            </w:r>
            <w:r w:rsidR="000A63FB" w:rsidRPr="002C0FBF">
              <w:rPr>
                <w:rFonts w:ascii="Source Sans Pro Regular" w:hAnsi="Source Sans Pro Regular"/>
                <w:color w:val="898D8D"/>
                <w:sz w:val="20"/>
                <w:szCs w:val="20"/>
              </w:rPr>
              <w:t xml:space="preserve"> 66.9%; en Álvaro Obregón</w:t>
            </w:r>
            <w:r>
              <w:rPr>
                <w:rFonts w:ascii="Source Sans Pro Regular" w:hAnsi="Source Sans Pro Regular"/>
                <w:color w:val="898D8D"/>
                <w:sz w:val="20"/>
                <w:szCs w:val="20"/>
              </w:rPr>
              <w:t>,</w:t>
            </w:r>
            <w:r w:rsidR="000A63FB" w:rsidRPr="002C0FBF">
              <w:rPr>
                <w:rFonts w:ascii="Source Sans Pro Regular" w:hAnsi="Source Sans Pro Regular"/>
                <w:color w:val="898D8D"/>
                <w:sz w:val="20"/>
                <w:szCs w:val="20"/>
              </w:rPr>
              <w:t xml:space="preserve"> 60.0%; en Tláhuac</w:t>
            </w:r>
            <w:r>
              <w:rPr>
                <w:rFonts w:ascii="Source Sans Pro Regular" w:hAnsi="Source Sans Pro Regular"/>
                <w:color w:val="898D8D"/>
                <w:sz w:val="20"/>
                <w:szCs w:val="20"/>
              </w:rPr>
              <w:t>,</w:t>
            </w:r>
            <w:r w:rsidR="000A63FB" w:rsidRPr="002C0FBF">
              <w:rPr>
                <w:rFonts w:ascii="Source Sans Pro Regular" w:hAnsi="Source Sans Pro Regular"/>
                <w:color w:val="898D8D"/>
                <w:sz w:val="20"/>
                <w:szCs w:val="20"/>
              </w:rPr>
              <w:t xml:space="preserve"> 50.0%; </w:t>
            </w:r>
            <w:r>
              <w:rPr>
                <w:rFonts w:ascii="Source Sans Pro Regular" w:hAnsi="Source Sans Pro Regular"/>
                <w:color w:val="898D8D"/>
                <w:sz w:val="20"/>
                <w:szCs w:val="20"/>
              </w:rPr>
              <w:t xml:space="preserve">y </w:t>
            </w:r>
            <w:r w:rsidR="000A63FB" w:rsidRPr="002C0FBF">
              <w:rPr>
                <w:rFonts w:ascii="Source Sans Pro Regular" w:hAnsi="Source Sans Pro Regular"/>
                <w:color w:val="898D8D"/>
                <w:sz w:val="20"/>
                <w:szCs w:val="20"/>
              </w:rPr>
              <w:t>en Iztacalco</w:t>
            </w:r>
            <w:r>
              <w:rPr>
                <w:rFonts w:ascii="Source Sans Pro Regular" w:hAnsi="Source Sans Pro Regular"/>
                <w:color w:val="898D8D"/>
                <w:sz w:val="20"/>
                <w:szCs w:val="20"/>
              </w:rPr>
              <w:t>,</w:t>
            </w:r>
            <w:r w:rsidR="000A63FB" w:rsidRPr="002C0FBF">
              <w:rPr>
                <w:rFonts w:ascii="Source Sans Pro Regular" w:hAnsi="Source Sans Pro Regular"/>
                <w:color w:val="898D8D"/>
                <w:sz w:val="20"/>
                <w:szCs w:val="20"/>
              </w:rPr>
              <w:t xml:space="preserve"> 45.4%.</w:t>
            </w:r>
          </w:p>
          <w:p w14:paraId="0E2114C0" w14:textId="153C06EB" w:rsidR="00F82798" w:rsidRPr="009D6AD4" w:rsidRDefault="000A63FB" w:rsidP="003D5F95">
            <w:pPr>
              <w:pStyle w:val="Normal1"/>
              <w:numPr>
                <w:ilvl w:val="0"/>
                <w:numId w:val="9"/>
              </w:numPr>
              <w:spacing w:after="60"/>
              <w:ind w:left="414" w:hanging="414"/>
              <w:rPr>
                <w:rFonts w:ascii="Source Sans Pro Regular" w:hAnsi="Source Sans Pro Regular"/>
                <w:color w:val="898D8D"/>
                <w:sz w:val="20"/>
                <w:szCs w:val="20"/>
              </w:rPr>
            </w:pPr>
            <w:r w:rsidRPr="009D6AD4">
              <w:rPr>
                <w:rFonts w:ascii="Source Sans Pro Regular" w:hAnsi="Source Sans Pro Regular"/>
                <w:color w:val="898D8D"/>
                <w:sz w:val="20"/>
                <w:szCs w:val="20"/>
              </w:rPr>
              <w:t>Más de la mitad de las manzanas de la Ciudad (el 51.7%) no tienen árboles en todas sus vialidades</w:t>
            </w:r>
            <w:r w:rsidR="009D6AD4">
              <w:rPr>
                <w:rFonts w:ascii="Source Sans Pro Regular" w:hAnsi="Source Sans Pro Regular"/>
                <w:color w:val="898D8D"/>
                <w:sz w:val="20"/>
                <w:szCs w:val="20"/>
              </w:rPr>
              <w:t xml:space="preserve"> (2015)</w:t>
            </w:r>
            <w:r w:rsidRPr="009D6AD4">
              <w:rPr>
                <w:rFonts w:ascii="Source Sans Pro Regular" w:hAnsi="Source Sans Pro Regular"/>
                <w:color w:val="898D8D"/>
                <w:sz w:val="20"/>
                <w:szCs w:val="20"/>
              </w:rPr>
              <w:t xml:space="preserve">. Esta situación está más extendida en las siguientes alcaldías:  </w:t>
            </w:r>
            <w:r w:rsidR="003D5F95">
              <w:rPr>
                <w:rFonts w:ascii="Source Sans Pro Regular" w:hAnsi="Source Sans Pro Regular"/>
                <w:color w:val="898D8D"/>
                <w:sz w:val="20"/>
                <w:szCs w:val="20"/>
              </w:rPr>
              <w:t xml:space="preserve">Milpa Alta, donde este porcentaje aumenta al </w:t>
            </w:r>
            <w:r w:rsidRPr="009D6AD4">
              <w:rPr>
                <w:rFonts w:ascii="Source Sans Pro Regular" w:hAnsi="Source Sans Pro Regular"/>
                <w:color w:val="898D8D"/>
                <w:sz w:val="20"/>
                <w:szCs w:val="20"/>
              </w:rPr>
              <w:t>87.8%</w:t>
            </w:r>
            <w:r w:rsidR="003D5F95">
              <w:rPr>
                <w:rFonts w:ascii="Source Sans Pro Regular" w:hAnsi="Source Sans Pro Regular"/>
                <w:color w:val="898D8D"/>
                <w:sz w:val="20"/>
                <w:szCs w:val="20"/>
              </w:rPr>
              <w:t>;</w:t>
            </w:r>
            <w:r w:rsidRPr="009D6AD4">
              <w:rPr>
                <w:rFonts w:ascii="Source Sans Pro Regular" w:hAnsi="Source Sans Pro Regular"/>
                <w:color w:val="898D8D"/>
                <w:sz w:val="20"/>
                <w:szCs w:val="20"/>
              </w:rPr>
              <w:t xml:space="preserve"> </w:t>
            </w:r>
            <w:r w:rsidR="003D5F95">
              <w:rPr>
                <w:rFonts w:ascii="Source Sans Pro Regular" w:hAnsi="Source Sans Pro Regular"/>
                <w:color w:val="898D8D"/>
                <w:sz w:val="20"/>
                <w:szCs w:val="20"/>
              </w:rPr>
              <w:t xml:space="preserve">Xochimilco, </w:t>
            </w:r>
            <w:r w:rsidRPr="009D6AD4">
              <w:rPr>
                <w:rFonts w:ascii="Source Sans Pro Regular" w:hAnsi="Source Sans Pro Regular"/>
                <w:color w:val="898D8D"/>
                <w:sz w:val="20"/>
                <w:szCs w:val="20"/>
              </w:rPr>
              <w:t>82.4%</w:t>
            </w:r>
            <w:r w:rsidR="003D5F95">
              <w:rPr>
                <w:rFonts w:ascii="Source Sans Pro Regular" w:hAnsi="Source Sans Pro Regular"/>
                <w:color w:val="898D8D"/>
                <w:sz w:val="20"/>
                <w:szCs w:val="20"/>
              </w:rPr>
              <w:t>; La Magdalena Contreras,</w:t>
            </w:r>
            <w:r w:rsidRPr="009D6AD4">
              <w:rPr>
                <w:rFonts w:ascii="Source Sans Pro Regular" w:hAnsi="Source Sans Pro Regular"/>
                <w:color w:val="898D8D"/>
                <w:sz w:val="20"/>
                <w:szCs w:val="20"/>
              </w:rPr>
              <w:t xml:space="preserve"> 80.7%</w:t>
            </w:r>
            <w:r w:rsidR="003D5F95">
              <w:rPr>
                <w:rFonts w:ascii="Source Sans Pro Regular" w:hAnsi="Source Sans Pro Regular"/>
                <w:color w:val="898D8D"/>
                <w:sz w:val="20"/>
                <w:szCs w:val="20"/>
              </w:rPr>
              <w:t xml:space="preserve">; </w:t>
            </w:r>
            <w:r w:rsidR="003D5F95">
              <w:rPr>
                <w:rFonts w:ascii="Source Sans Pro Regular" w:hAnsi="Source Sans Pro Regular"/>
                <w:color w:val="898D8D"/>
                <w:sz w:val="20"/>
                <w:szCs w:val="20"/>
              </w:rPr>
              <w:lastRenderedPageBreak/>
              <w:t xml:space="preserve">Cuajimalpa, </w:t>
            </w:r>
            <w:r w:rsidRPr="009D6AD4">
              <w:rPr>
                <w:rFonts w:ascii="Source Sans Pro Regular" w:hAnsi="Source Sans Pro Regular"/>
                <w:color w:val="898D8D"/>
                <w:sz w:val="20"/>
                <w:szCs w:val="20"/>
              </w:rPr>
              <w:t>77.0%</w:t>
            </w:r>
            <w:r w:rsidR="003D5F95">
              <w:rPr>
                <w:rFonts w:ascii="Source Sans Pro Regular" w:hAnsi="Source Sans Pro Regular"/>
                <w:color w:val="898D8D"/>
                <w:sz w:val="20"/>
                <w:szCs w:val="20"/>
              </w:rPr>
              <w:t xml:space="preserve">; Álvaro Obregón, </w:t>
            </w:r>
            <w:r w:rsidRPr="009D6AD4">
              <w:rPr>
                <w:rFonts w:ascii="Source Sans Pro Regular" w:hAnsi="Source Sans Pro Regular"/>
                <w:color w:val="898D8D"/>
                <w:sz w:val="20"/>
                <w:szCs w:val="20"/>
              </w:rPr>
              <w:t>63.4%</w:t>
            </w:r>
            <w:r w:rsidR="003D5F95">
              <w:rPr>
                <w:rFonts w:ascii="Source Sans Pro Regular" w:hAnsi="Source Sans Pro Regular"/>
                <w:color w:val="898D8D"/>
                <w:sz w:val="20"/>
                <w:szCs w:val="20"/>
              </w:rPr>
              <w:t xml:space="preserve">; Iztacalco, </w:t>
            </w:r>
            <w:r w:rsidRPr="009D6AD4">
              <w:rPr>
                <w:rFonts w:ascii="Source Sans Pro Regular" w:hAnsi="Source Sans Pro Regular"/>
                <w:color w:val="898D8D"/>
                <w:sz w:val="20"/>
                <w:szCs w:val="20"/>
              </w:rPr>
              <w:t>62.4%</w:t>
            </w:r>
            <w:r w:rsidR="003D5F95">
              <w:rPr>
                <w:rFonts w:ascii="Source Sans Pro Regular" w:hAnsi="Source Sans Pro Regular"/>
                <w:color w:val="898D8D"/>
                <w:sz w:val="20"/>
                <w:szCs w:val="20"/>
              </w:rPr>
              <w:t xml:space="preserve">; Iztapalapa, </w:t>
            </w:r>
            <w:r w:rsidRPr="009D6AD4">
              <w:rPr>
                <w:rFonts w:ascii="Source Sans Pro Regular" w:hAnsi="Source Sans Pro Regular"/>
                <w:color w:val="898D8D"/>
                <w:sz w:val="20"/>
                <w:szCs w:val="20"/>
              </w:rPr>
              <w:t>61.5%</w:t>
            </w:r>
            <w:r w:rsidR="003D5F95">
              <w:rPr>
                <w:rFonts w:ascii="Source Sans Pro Regular" w:hAnsi="Source Sans Pro Regular"/>
                <w:color w:val="898D8D"/>
                <w:sz w:val="20"/>
                <w:szCs w:val="20"/>
              </w:rPr>
              <w:t xml:space="preserve">; y Tláhuac, </w:t>
            </w:r>
            <w:r w:rsidRPr="009D6AD4">
              <w:rPr>
                <w:rFonts w:ascii="Source Sans Pro Regular" w:hAnsi="Source Sans Pro Regular"/>
                <w:color w:val="898D8D"/>
                <w:sz w:val="20"/>
                <w:szCs w:val="20"/>
              </w:rPr>
              <w:t>56.1%.</w:t>
            </w:r>
          </w:p>
        </w:tc>
        <w:tc>
          <w:tcPr>
            <w:tcW w:w="2457" w:type="dxa"/>
          </w:tcPr>
          <w:p w14:paraId="2625C4B8" w14:textId="77777777" w:rsidR="00F82798" w:rsidRPr="002C0FBF" w:rsidRDefault="00F82798">
            <w:pPr>
              <w:pStyle w:val="Normal1"/>
              <w:rPr>
                <w:rFonts w:ascii="Source Sans Pro Regular" w:hAnsi="Source Sans Pro Regular"/>
                <w:color w:val="898D8D"/>
                <w:sz w:val="20"/>
                <w:szCs w:val="20"/>
              </w:rPr>
            </w:pPr>
          </w:p>
        </w:tc>
      </w:tr>
      <w:tr w:rsidR="00F82798" w:rsidRPr="002C0FBF" w14:paraId="598D2579" w14:textId="77777777" w:rsidTr="00CD3C2B">
        <w:tc>
          <w:tcPr>
            <w:tcW w:w="2174" w:type="dxa"/>
          </w:tcPr>
          <w:p w14:paraId="09F14E7C" w14:textId="668176D4" w:rsidR="00F82798" w:rsidRPr="00B4745C" w:rsidRDefault="000A63FB">
            <w:pPr>
              <w:pStyle w:val="Normal1"/>
              <w:rPr>
                <w:rFonts w:ascii="Source Sans Pro Regular" w:hAnsi="Source Sans Pro Regular"/>
                <w:b/>
                <w:color w:val="898D8D"/>
                <w:sz w:val="20"/>
                <w:szCs w:val="20"/>
              </w:rPr>
            </w:pPr>
            <w:r w:rsidRPr="00B4745C">
              <w:rPr>
                <w:rFonts w:ascii="Source Sans Pro Regular" w:hAnsi="Source Sans Pro Regular"/>
                <w:b/>
                <w:color w:val="898D8D"/>
                <w:sz w:val="20"/>
                <w:szCs w:val="20"/>
              </w:rPr>
              <w:t>Movilidad</w:t>
            </w:r>
          </w:p>
          <w:p w14:paraId="095C9203" w14:textId="77777777" w:rsidR="00F82798" w:rsidRPr="002C0FBF" w:rsidRDefault="00F82798">
            <w:pPr>
              <w:pStyle w:val="Normal1"/>
              <w:rPr>
                <w:rFonts w:ascii="Source Sans Pro Regular" w:hAnsi="Source Sans Pro Regular"/>
                <w:color w:val="898D8D"/>
                <w:sz w:val="20"/>
                <w:szCs w:val="20"/>
              </w:rPr>
            </w:pPr>
          </w:p>
          <w:p w14:paraId="3F5A41F3"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(mapa 2.2)</w:t>
            </w:r>
          </w:p>
        </w:tc>
        <w:tc>
          <w:tcPr>
            <w:tcW w:w="5481" w:type="dxa"/>
          </w:tcPr>
          <w:p w14:paraId="04A0DE59" w14:textId="1B4FC6C0" w:rsidR="00F82798" w:rsidRPr="002C0FBF" w:rsidRDefault="000A63FB" w:rsidP="00AE7E1E">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 cuatro alcaldías de la Ciudad</w:t>
            </w:r>
            <w:r w:rsidR="00AE7E1E">
              <w:rPr>
                <w:rFonts w:ascii="Source Sans Pro Regular" w:hAnsi="Source Sans Pro Regular"/>
                <w:color w:val="898D8D"/>
                <w:sz w:val="20"/>
                <w:szCs w:val="20"/>
              </w:rPr>
              <w:t xml:space="preserve"> (2015)</w:t>
            </w:r>
            <w:r w:rsidRPr="002C0FBF">
              <w:rPr>
                <w:rFonts w:ascii="Source Sans Pro Regular" w:hAnsi="Source Sans Pro Regular"/>
                <w:color w:val="898D8D"/>
                <w:sz w:val="20"/>
                <w:szCs w:val="20"/>
              </w:rPr>
              <w:t xml:space="preserve">, más del 30% de las personas que trabajan tienen que dedicar más de 2 horas diarias </w:t>
            </w:r>
            <w:r w:rsidR="00AE7E1E">
              <w:rPr>
                <w:rFonts w:ascii="Source Sans Pro Regular" w:hAnsi="Source Sans Pro Regular"/>
                <w:color w:val="898D8D"/>
                <w:sz w:val="20"/>
                <w:szCs w:val="20"/>
              </w:rPr>
              <w:t xml:space="preserve">a recorrer el trayecto casa-trabajo-casa: </w:t>
            </w:r>
            <w:r w:rsidRPr="002C0FBF">
              <w:rPr>
                <w:rFonts w:ascii="Source Sans Pro Regular" w:hAnsi="Source Sans Pro Regular"/>
                <w:color w:val="898D8D"/>
                <w:sz w:val="20"/>
                <w:szCs w:val="20"/>
              </w:rPr>
              <w:t>Tláhuac (el 40.7%), Milpa Alta (39.9%), Xochimilco (30.8%) y La Magdalena Contreras (30.7%).</w:t>
            </w:r>
          </w:p>
        </w:tc>
        <w:tc>
          <w:tcPr>
            <w:tcW w:w="2457" w:type="dxa"/>
          </w:tcPr>
          <w:p w14:paraId="2A7EB25B" w14:textId="77777777" w:rsidR="00F82798" w:rsidRPr="002C0FBF" w:rsidRDefault="00F82798">
            <w:pPr>
              <w:pStyle w:val="Normal1"/>
              <w:rPr>
                <w:rFonts w:ascii="Source Sans Pro Regular" w:hAnsi="Source Sans Pro Regular"/>
                <w:color w:val="898D8D"/>
                <w:sz w:val="20"/>
                <w:szCs w:val="20"/>
              </w:rPr>
            </w:pPr>
          </w:p>
        </w:tc>
      </w:tr>
    </w:tbl>
    <w:p w14:paraId="4F402181" w14:textId="77777777" w:rsidR="00D22147" w:rsidRDefault="00D22147"/>
    <w:tbl>
      <w:tblPr>
        <w:tblStyle w:val="a"/>
        <w:tblW w:w="101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4"/>
        <w:gridCol w:w="5481"/>
        <w:gridCol w:w="2457"/>
      </w:tblGrid>
      <w:tr w:rsidR="00F82798" w:rsidRPr="00AC51A7" w14:paraId="2FC0098A" w14:textId="77777777" w:rsidTr="00AC51A7">
        <w:trPr>
          <w:trHeight w:val="340"/>
        </w:trPr>
        <w:tc>
          <w:tcPr>
            <w:tcW w:w="10112" w:type="dxa"/>
            <w:gridSpan w:val="3"/>
            <w:shd w:val="solid" w:color="008000" w:fill="auto"/>
            <w:vAlign w:val="center"/>
          </w:tcPr>
          <w:p w14:paraId="16E379B0" w14:textId="5093F785" w:rsidR="00F82798" w:rsidRPr="00AC51A7" w:rsidRDefault="0049710D" w:rsidP="0049710D">
            <w:pPr>
              <w:pStyle w:val="Normal1"/>
              <w:jc w:val="center"/>
              <w:rPr>
                <w:rFonts w:ascii="Source Sans Pro Regular" w:hAnsi="Source Sans Pro Regular"/>
                <w:b/>
                <w:color w:val="FFFFFF" w:themeColor="background1"/>
                <w:sz w:val="20"/>
                <w:szCs w:val="20"/>
              </w:rPr>
            </w:pPr>
            <w:r>
              <w:rPr>
                <w:rFonts w:ascii="Source Sans Pro Regular" w:hAnsi="Source Sans Pro Regular"/>
                <w:b/>
                <w:color w:val="FFFFFF" w:themeColor="background1"/>
                <w:sz w:val="20"/>
                <w:szCs w:val="20"/>
              </w:rPr>
              <w:t xml:space="preserve">(Capítulo 3) </w:t>
            </w:r>
            <w:r w:rsidR="00AC51A7">
              <w:rPr>
                <w:rFonts w:ascii="Source Sans Pro Regular" w:hAnsi="Source Sans Pro Regular"/>
                <w:b/>
                <w:color w:val="FFFFFF" w:themeColor="background1"/>
                <w:sz w:val="20"/>
                <w:szCs w:val="20"/>
              </w:rPr>
              <w:t>ACTIVIDADES PRODUCTIVAS</w:t>
            </w:r>
          </w:p>
        </w:tc>
      </w:tr>
      <w:tr w:rsidR="00F82798" w:rsidRPr="00AC51A7" w14:paraId="752A71C5" w14:textId="77777777" w:rsidTr="00517506">
        <w:tc>
          <w:tcPr>
            <w:tcW w:w="2174" w:type="dxa"/>
            <w:shd w:val="solid" w:color="008000" w:fill="auto"/>
          </w:tcPr>
          <w:p w14:paraId="753ABA3D" w14:textId="77777777" w:rsidR="00F82798" w:rsidRPr="00AC51A7" w:rsidRDefault="000A63FB">
            <w:pPr>
              <w:pStyle w:val="Normal1"/>
              <w:rPr>
                <w:rFonts w:ascii="Source Sans Pro Regular" w:hAnsi="Source Sans Pro Regular"/>
                <w:b/>
                <w:color w:val="FFFFFF" w:themeColor="background1"/>
                <w:sz w:val="20"/>
                <w:szCs w:val="20"/>
              </w:rPr>
            </w:pPr>
            <w:r w:rsidRPr="00AC51A7">
              <w:rPr>
                <w:rFonts w:ascii="Source Sans Pro Regular" w:hAnsi="Source Sans Pro Regular"/>
                <w:b/>
                <w:color w:val="FFFFFF" w:themeColor="background1"/>
                <w:sz w:val="20"/>
                <w:szCs w:val="20"/>
              </w:rPr>
              <w:t>Temas y fuente</w:t>
            </w:r>
          </w:p>
        </w:tc>
        <w:tc>
          <w:tcPr>
            <w:tcW w:w="5481" w:type="dxa"/>
            <w:shd w:val="solid" w:color="008000" w:fill="auto"/>
          </w:tcPr>
          <w:p w14:paraId="69079E75" w14:textId="77777777" w:rsidR="00F82798" w:rsidRPr="00AC51A7" w:rsidRDefault="000A63FB">
            <w:pPr>
              <w:pStyle w:val="Normal1"/>
              <w:rPr>
                <w:rFonts w:ascii="Source Sans Pro Regular" w:hAnsi="Source Sans Pro Regular"/>
                <w:b/>
                <w:color w:val="FFFFFF" w:themeColor="background1"/>
                <w:sz w:val="20"/>
                <w:szCs w:val="20"/>
              </w:rPr>
            </w:pPr>
            <w:r w:rsidRPr="00AC51A7">
              <w:rPr>
                <w:rFonts w:ascii="Source Sans Pro Regular" w:hAnsi="Source Sans Pro Regular"/>
                <w:b/>
                <w:color w:val="FFFFFF" w:themeColor="background1"/>
                <w:sz w:val="20"/>
                <w:szCs w:val="20"/>
              </w:rPr>
              <w:t>Indicadores</w:t>
            </w:r>
          </w:p>
        </w:tc>
        <w:tc>
          <w:tcPr>
            <w:tcW w:w="2457" w:type="dxa"/>
            <w:shd w:val="solid" w:color="008000" w:fill="auto"/>
          </w:tcPr>
          <w:p w14:paraId="6456E8B6" w14:textId="77777777" w:rsidR="00F82798" w:rsidRPr="00AC51A7" w:rsidRDefault="00F82798">
            <w:pPr>
              <w:pStyle w:val="Normal1"/>
              <w:rPr>
                <w:rFonts w:ascii="Source Sans Pro Regular" w:hAnsi="Source Sans Pro Regular"/>
                <w:color w:val="FFFFFF" w:themeColor="background1"/>
                <w:sz w:val="20"/>
                <w:szCs w:val="20"/>
              </w:rPr>
            </w:pPr>
          </w:p>
        </w:tc>
      </w:tr>
      <w:tr w:rsidR="00F82798" w:rsidRPr="002C0FBF" w14:paraId="4436E9C3" w14:textId="77777777" w:rsidTr="00517506">
        <w:tc>
          <w:tcPr>
            <w:tcW w:w="2174" w:type="dxa"/>
          </w:tcPr>
          <w:p w14:paraId="785B82BB" w14:textId="77777777" w:rsidR="00F82798" w:rsidRPr="00FF5628" w:rsidRDefault="000A63FB">
            <w:pPr>
              <w:pStyle w:val="Normal1"/>
              <w:rPr>
                <w:rFonts w:ascii="Source Sans Pro Regular" w:hAnsi="Source Sans Pro Regular"/>
                <w:color w:val="898D8D"/>
                <w:sz w:val="20"/>
                <w:szCs w:val="20"/>
              </w:rPr>
            </w:pPr>
            <w:r w:rsidRPr="006E6730">
              <w:rPr>
                <w:rFonts w:ascii="Source Sans Pro Regular" w:hAnsi="Source Sans Pro Regular"/>
                <w:b/>
                <w:color w:val="898D8D"/>
                <w:sz w:val="20"/>
                <w:szCs w:val="20"/>
              </w:rPr>
              <w:t>Desempleo</w:t>
            </w:r>
          </w:p>
          <w:p w14:paraId="69B33CFD" w14:textId="77777777" w:rsidR="00F82798" w:rsidRPr="00FF5628" w:rsidRDefault="00F82798">
            <w:pPr>
              <w:pStyle w:val="Normal1"/>
              <w:rPr>
                <w:rFonts w:ascii="Source Sans Pro Regular" w:hAnsi="Source Sans Pro Regular"/>
                <w:color w:val="898D8D"/>
                <w:sz w:val="20"/>
                <w:szCs w:val="20"/>
              </w:rPr>
            </w:pPr>
          </w:p>
          <w:p w14:paraId="1C3795E5" w14:textId="77777777" w:rsidR="00F82798" w:rsidRPr="00FF5628" w:rsidRDefault="000A63FB">
            <w:pPr>
              <w:pStyle w:val="Normal1"/>
              <w:rPr>
                <w:rFonts w:ascii="Source Sans Pro Regular" w:hAnsi="Source Sans Pro Regular"/>
                <w:color w:val="898D8D"/>
                <w:sz w:val="20"/>
                <w:szCs w:val="20"/>
              </w:rPr>
            </w:pPr>
            <w:r w:rsidRPr="00FF5628">
              <w:rPr>
                <w:rFonts w:ascii="Source Sans Pro Regular" w:hAnsi="Source Sans Pro Regular"/>
                <w:color w:val="898D8D"/>
                <w:sz w:val="20"/>
                <w:szCs w:val="20"/>
              </w:rPr>
              <w:t xml:space="preserve">Fuentes: Diagnóstico (cuadro 3.3 y página 134) </w:t>
            </w:r>
          </w:p>
        </w:tc>
        <w:tc>
          <w:tcPr>
            <w:tcW w:w="5481" w:type="dxa"/>
          </w:tcPr>
          <w:p w14:paraId="1B7E3FD2" w14:textId="18A696A4" w:rsidR="00F82798" w:rsidRPr="00FF5628" w:rsidRDefault="000A63FB" w:rsidP="00CD3C2B">
            <w:pPr>
              <w:pStyle w:val="Normal1"/>
              <w:numPr>
                <w:ilvl w:val="0"/>
                <w:numId w:val="9"/>
              </w:numPr>
              <w:spacing w:after="60"/>
              <w:ind w:left="414" w:hanging="414"/>
              <w:rPr>
                <w:rFonts w:ascii="Source Sans Pro Regular" w:hAnsi="Source Sans Pro Regular"/>
                <w:color w:val="898D8D"/>
                <w:sz w:val="20"/>
                <w:szCs w:val="20"/>
              </w:rPr>
            </w:pPr>
            <w:r w:rsidRPr="00FF5628">
              <w:rPr>
                <w:rFonts w:ascii="Source Sans Pro Regular" w:hAnsi="Source Sans Pro Regular"/>
                <w:color w:val="898D8D"/>
                <w:sz w:val="20"/>
                <w:szCs w:val="20"/>
              </w:rPr>
              <w:t xml:space="preserve">En 2015, la tasa de desempleo </w:t>
            </w:r>
            <w:r w:rsidR="00310A04">
              <w:rPr>
                <w:rFonts w:ascii="Source Sans Pro Regular" w:hAnsi="Source Sans Pro Regular"/>
                <w:color w:val="898D8D"/>
                <w:sz w:val="20"/>
                <w:szCs w:val="20"/>
              </w:rPr>
              <w:t xml:space="preserve">entre la población de la Ciudad </w:t>
            </w:r>
            <w:r w:rsidRPr="00FF5628">
              <w:rPr>
                <w:rFonts w:ascii="Source Sans Pro Regular" w:hAnsi="Source Sans Pro Regular"/>
                <w:color w:val="898D8D"/>
                <w:sz w:val="20"/>
                <w:szCs w:val="20"/>
              </w:rPr>
              <w:t>(porcentaje de la P</w:t>
            </w:r>
            <w:r w:rsidR="00310A04">
              <w:rPr>
                <w:rFonts w:ascii="Source Sans Pro Regular" w:hAnsi="Source Sans Pro Regular"/>
                <w:color w:val="898D8D"/>
                <w:sz w:val="20"/>
                <w:szCs w:val="20"/>
              </w:rPr>
              <w:t xml:space="preserve">oblación </w:t>
            </w:r>
            <w:r w:rsidRPr="00FF5628">
              <w:rPr>
                <w:rFonts w:ascii="Source Sans Pro Regular" w:hAnsi="Source Sans Pro Regular"/>
                <w:color w:val="898D8D"/>
                <w:sz w:val="20"/>
                <w:szCs w:val="20"/>
              </w:rPr>
              <w:t>E</w:t>
            </w:r>
            <w:r w:rsidR="00310A04">
              <w:rPr>
                <w:rFonts w:ascii="Source Sans Pro Regular" w:hAnsi="Source Sans Pro Regular"/>
                <w:color w:val="898D8D"/>
                <w:sz w:val="20"/>
                <w:szCs w:val="20"/>
              </w:rPr>
              <w:t xml:space="preserve">conómicamente </w:t>
            </w:r>
            <w:r w:rsidRPr="00FF5628">
              <w:rPr>
                <w:rFonts w:ascii="Source Sans Pro Regular" w:hAnsi="Source Sans Pro Regular"/>
                <w:color w:val="898D8D"/>
                <w:sz w:val="20"/>
                <w:szCs w:val="20"/>
              </w:rPr>
              <w:t>A</w:t>
            </w:r>
            <w:r w:rsidR="00310A04">
              <w:rPr>
                <w:rFonts w:ascii="Source Sans Pro Regular" w:hAnsi="Source Sans Pro Regular"/>
                <w:color w:val="898D8D"/>
                <w:sz w:val="20"/>
                <w:szCs w:val="20"/>
              </w:rPr>
              <w:t>ctiva</w:t>
            </w:r>
            <w:r w:rsidRPr="00FF5628">
              <w:rPr>
                <w:rFonts w:ascii="Source Sans Pro Regular" w:hAnsi="Source Sans Pro Regular"/>
                <w:color w:val="898D8D"/>
                <w:sz w:val="20"/>
                <w:szCs w:val="20"/>
              </w:rPr>
              <w:t xml:space="preserve"> que no está ocupada) es 4.1%. </w:t>
            </w:r>
          </w:p>
          <w:p w14:paraId="1A876E74" w14:textId="7BDB58B6" w:rsidR="00F82798" w:rsidRPr="00657B23" w:rsidRDefault="000A63FB" w:rsidP="00CD3C2B">
            <w:pPr>
              <w:pStyle w:val="Normal1"/>
              <w:numPr>
                <w:ilvl w:val="0"/>
                <w:numId w:val="9"/>
              </w:numPr>
              <w:spacing w:after="60"/>
              <w:ind w:left="414" w:hanging="414"/>
              <w:rPr>
                <w:rFonts w:ascii="Source Sans Pro Regular" w:hAnsi="Source Sans Pro Regular"/>
                <w:color w:val="898D8D"/>
                <w:sz w:val="20"/>
                <w:szCs w:val="20"/>
              </w:rPr>
            </w:pPr>
            <w:r w:rsidRPr="00657B23">
              <w:rPr>
                <w:rFonts w:ascii="Source Sans Pro Regular" w:hAnsi="Source Sans Pro Regular"/>
                <w:color w:val="898D8D"/>
                <w:sz w:val="20"/>
                <w:szCs w:val="20"/>
              </w:rPr>
              <w:t xml:space="preserve">En las siguientes alcaldías esta tasa es mayor al promedio </w:t>
            </w:r>
            <w:r w:rsidR="00310A04">
              <w:rPr>
                <w:rFonts w:ascii="Source Sans Pro Regular" w:hAnsi="Source Sans Pro Regular"/>
                <w:color w:val="898D8D"/>
                <w:sz w:val="20"/>
                <w:szCs w:val="20"/>
              </w:rPr>
              <w:t>capitalino</w:t>
            </w:r>
            <w:r w:rsidRPr="00657B23">
              <w:rPr>
                <w:rFonts w:ascii="Source Sans Pro Regular" w:hAnsi="Source Sans Pro Regular"/>
                <w:color w:val="898D8D"/>
                <w:sz w:val="20"/>
                <w:szCs w:val="20"/>
              </w:rPr>
              <w:t>:</w:t>
            </w:r>
            <w:r w:rsidR="00657B23" w:rsidRPr="00657B23">
              <w:rPr>
                <w:rFonts w:ascii="Source Sans Pro Regular" w:hAnsi="Source Sans Pro Regular"/>
                <w:color w:val="898D8D"/>
                <w:sz w:val="20"/>
                <w:szCs w:val="20"/>
              </w:rPr>
              <w:t xml:space="preserve"> </w:t>
            </w:r>
            <w:r w:rsidRPr="00657B23">
              <w:rPr>
                <w:rFonts w:ascii="Source Sans Pro Regular" w:hAnsi="Source Sans Pro Regular"/>
                <w:color w:val="898D8D"/>
                <w:sz w:val="20"/>
                <w:szCs w:val="20"/>
              </w:rPr>
              <w:t>Tláhuac</w:t>
            </w:r>
            <w:r w:rsidR="00657B23" w:rsidRPr="00657B23">
              <w:rPr>
                <w:rFonts w:ascii="Source Sans Pro Regular" w:hAnsi="Source Sans Pro Regular"/>
                <w:color w:val="898D8D"/>
                <w:sz w:val="20"/>
                <w:szCs w:val="20"/>
              </w:rPr>
              <w:t xml:space="preserve"> (</w:t>
            </w:r>
            <w:r w:rsidRPr="00657B23">
              <w:rPr>
                <w:rFonts w:ascii="Source Sans Pro Regular" w:hAnsi="Source Sans Pro Regular"/>
                <w:color w:val="898D8D"/>
                <w:sz w:val="20"/>
                <w:szCs w:val="20"/>
              </w:rPr>
              <w:t>4.9%</w:t>
            </w:r>
            <w:r w:rsidR="00657B23" w:rsidRPr="00657B23">
              <w:rPr>
                <w:rFonts w:ascii="Source Sans Pro Regular" w:hAnsi="Source Sans Pro Regular"/>
                <w:color w:val="898D8D"/>
                <w:sz w:val="20"/>
                <w:szCs w:val="20"/>
              </w:rPr>
              <w:t>); V</w:t>
            </w:r>
            <w:r w:rsidRPr="00657B23">
              <w:rPr>
                <w:rFonts w:ascii="Source Sans Pro Regular" w:hAnsi="Source Sans Pro Regular"/>
                <w:color w:val="898D8D"/>
                <w:sz w:val="20"/>
                <w:szCs w:val="20"/>
              </w:rPr>
              <w:t>enustiano Carranza</w:t>
            </w:r>
            <w:r w:rsidR="00657B23" w:rsidRPr="00657B23">
              <w:rPr>
                <w:rFonts w:ascii="Source Sans Pro Regular" w:hAnsi="Source Sans Pro Regular"/>
                <w:color w:val="898D8D"/>
                <w:sz w:val="20"/>
                <w:szCs w:val="20"/>
              </w:rPr>
              <w:t xml:space="preserve"> (</w:t>
            </w:r>
            <w:r w:rsidRPr="00657B23">
              <w:rPr>
                <w:rFonts w:ascii="Source Sans Pro Regular" w:hAnsi="Source Sans Pro Regular"/>
                <w:color w:val="898D8D"/>
                <w:sz w:val="20"/>
                <w:szCs w:val="20"/>
              </w:rPr>
              <w:t>4.5%</w:t>
            </w:r>
            <w:r w:rsidR="00657B23" w:rsidRPr="00657B23">
              <w:rPr>
                <w:rFonts w:ascii="Source Sans Pro Regular" w:hAnsi="Source Sans Pro Regular"/>
                <w:color w:val="898D8D"/>
                <w:sz w:val="20"/>
                <w:szCs w:val="20"/>
              </w:rPr>
              <w:t xml:space="preserve">); </w:t>
            </w:r>
            <w:r w:rsidRPr="00657B23">
              <w:rPr>
                <w:rFonts w:ascii="Source Sans Pro Regular" w:hAnsi="Source Sans Pro Regular"/>
                <w:color w:val="898D8D"/>
                <w:sz w:val="20"/>
                <w:szCs w:val="20"/>
              </w:rPr>
              <w:t>Cuauhtémoc</w:t>
            </w:r>
            <w:r w:rsidR="00657B23" w:rsidRPr="00657B23">
              <w:rPr>
                <w:rFonts w:ascii="Source Sans Pro Regular" w:hAnsi="Source Sans Pro Regular"/>
                <w:color w:val="898D8D"/>
                <w:sz w:val="20"/>
                <w:szCs w:val="20"/>
              </w:rPr>
              <w:t xml:space="preserve"> (</w:t>
            </w:r>
            <w:r w:rsidRPr="00657B23">
              <w:rPr>
                <w:rFonts w:ascii="Source Sans Pro Regular" w:hAnsi="Source Sans Pro Regular"/>
                <w:color w:val="898D8D"/>
                <w:sz w:val="20"/>
                <w:szCs w:val="20"/>
              </w:rPr>
              <w:t>4.4%</w:t>
            </w:r>
            <w:r w:rsidR="00657B23" w:rsidRPr="00657B23">
              <w:rPr>
                <w:rFonts w:ascii="Source Sans Pro Regular" w:hAnsi="Source Sans Pro Regular"/>
                <w:color w:val="898D8D"/>
                <w:sz w:val="20"/>
                <w:szCs w:val="20"/>
              </w:rPr>
              <w:t xml:space="preserve">);  </w:t>
            </w:r>
            <w:r w:rsidRPr="00657B23">
              <w:rPr>
                <w:rFonts w:ascii="Source Sans Pro Regular" w:hAnsi="Source Sans Pro Regular"/>
                <w:color w:val="898D8D"/>
                <w:sz w:val="20"/>
                <w:szCs w:val="20"/>
              </w:rPr>
              <w:t>La Magdalena Contreras</w:t>
            </w:r>
            <w:r w:rsidR="00657B23" w:rsidRPr="00657B23">
              <w:rPr>
                <w:rFonts w:ascii="Source Sans Pro Regular" w:hAnsi="Source Sans Pro Regular"/>
                <w:color w:val="898D8D"/>
                <w:sz w:val="20"/>
                <w:szCs w:val="20"/>
              </w:rPr>
              <w:t xml:space="preserve"> (</w:t>
            </w:r>
            <w:r w:rsidRPr="00657B23">
              <w:rPr>
                <w:rFonts w:ascii="Source Sans Pro Regular" w:hAnsi="Source Sans Pro Regular"/>
                <w:color w:val="898D8D"/>
                <w:sz w:val="20"/>
                <w:szCs w:val="20"/>
              </w:rPr>
              <w:t>4.7%</w:t>
            </w:r>
            <w:r w:rsidR="00657B23" w:rsidRPr="00657B23">
              <w:rPr>
                <w:rFonts w:ascii="Source Sans Pro Regular" w:hAnsi="Source Sans Pro Regular"/>
                <w:color w:val="898D8D"/>
                <w:sz w:val="20"/>
                <w:szCs w:val="20"/>
              </w:rPr>
              <w:t xml:space="preserve">); </w:t>
            </w:r>
            <w:r w:rsidRPr="00657B23">
              <w:rPr>
                <w:rFonts w:ascii="Source Sans Pro Regular" w:hAnsi="Source Sans Pro Regular"/>
                <w:color w:val="898D8D"/>
                <w:sz w:val="20"/>
                <w:szCs w:val="20"/>
              </w:rPr>
              <w:t>Iztapalapa</w:t>
            </w:r>
            <w:r w:rsidR="00657B23" w:rsidRPr="00657B23">
              <w:rPr>
                <w:rFonts w:ascii="Source Sans Pro Regular" w:hAnsi="Source Sans Pro Regular"/>
                <w:color w:val="898D8D"/>
                <w:sz w:val="20"/>
                <w:szCs w:val="20"/>
              </w:rPr>
              <w:t xml:space="preserve"> (</w:t>
            </w:r>
            <w:r w:rsidRPr="00657B23">
              <w:rPr>
                <w:rFonts w:ascii="Source Sans Pro Regular" w:hAnsi="Source Sans Pro Regular"/>
                <w:color w:val="898D8D"/>
                <w:sz w:val="20"/>
                <w:szCs w:val="20"/>
              </w:rPr>
              <w:t>4.8%</w:t>
            </w:r>
            <w:r w:rsidR="00657B23" w:rsidRPr="00657B23">
              <w:rPr>
                <w:rFonts w:ascii="Source Sans Pro Regular" w:hAnsi="Source Sans Pro Regular"/>
                <w:color w:val="898D8D"/>
                <w:sz w:val="20"/>
                <w:szCs w:val="20"/>
              </w:rPr>
              <w:t xml:space="preserve">); </w:t>
            </w:r>
            <w:r w:rsidRPr="00657B23">
              <w:rPr>
                <w:rFonts w:ascii="Source Sans Pro Regular" w:hAnsi="Source Sans Pro Regular"/>
                <w:color w:val="898D8D"/>
                <w:sz w:val="20"/>
                <w:szCs w:val="20"/>
              </w:rPr>
              <w:t>Gustavo A. Madero</w:t>
            </w:r>
            <w:r w:rsidR="00657B23" w:rsidRPr="00657B23">
              <w:rPr>
                <w:rFonts w:ascii="Source Sans Pro Regular" w:hAnsi="Source Sans Pro Regular"/>
                <w:color w:val="898D8D"/>
                <w:sz w:val="20"/>
                <w:szCs w:val="20"/>
              </w:rPr>
              <w:t xml:space="preserve"> (</w:t>
            </w:r>
            <w:r w:rsidRPr="00657B23">
              <w:rPr>
                <w:rFonts w:ascii="Source Sans Pro Regular" w:hAnsi="Source Sans Pro Regular"/>
                <w:color w:val="898D8D"/>
                <w:sz w:val="20"/>
                <w:szCs w:val="20"/>
              </w:rPr>
              <w:t>4.4%</w:t>
            </w:r>
            <w:r w:rsidR="00657B23" w:rsidRPr="00657B23">
              <w:rPr>
                <w:rFonts w:ascii="Source Sans Pro Regular" w:hAnsi="Source Sans Pro Regular"/>
                <w:color w:val="898D8D"/>
                <w:sz w:val="20"/>
                <w:szCs w:val="20"/>
              </w:rPr>
              <w:t xml:space="preserve">); </w:t>
            </w:r>
            <w:r w:rsidR="00310A04">
              <w:rPr>
                <w:rFonts w:ascii="Source Sans Pro Regular" w:hAnsi="Source Sans Pro Regular"/>
                <w:color w:val="898D8D"/>
                <w:sz w:val="20"/>
                <w:szCs w:val="20"/>
              </w:rPr>
              <w:t xml:space="preserve">y </w:t>
            </w:r>
            <w:r w:rsidRPr="00657B23">
              <w:rPr>
                <w:rFonts w:ascii="Source Sans Pro Regular" w:hAnsi="Source Sans Pro Regular"/>
                <w:color w:val="898D8D"/>
                <w:sz w:val="20"/>
                <w:szCs w:val="20"/>
              </w:rPr>
              <w:t>Azcapotzalco</w:t>
            </w:r>
            <w:r w:rsidR="00657B23">
              <w:rPr>
                <w:rFonts w:ascii="Source Sans Pro Regular" w:hAnsi="Source Sans Pro Regular"/>
                <w:color w:val="898D8D"/>
                <w:sz w:val="20"/>
                <w:szCs w:val="20"/>
              </w:rPr>
              <w:t xml:space="preserve"> (</w:t>
            </w:r>
            <w:r w:rsidRPr="00657B23">
              <w:rPr>
                <w:rFonts w:ascii="Source Sans Pro Regular" w:hAnsi="Source Sans Pro Regular"/>
                <w:color w:val="898D8D"/>
                <w:sz w:val="20"/>
                <w:szCs w:val="20"/>
              </w:rPr>
              <w:t>4.3%</w:t>
            </w:r>
            <w:r w:rsidR="00657B23">
              <w:rPr>
                <w:rFonts w:ascii="Source Sans Pro Regular" w:hAnsi="Source Sans Pro Regular"/>
                <w:color w:val="898D8D"/>
                <w:sz w:val="20"/>
                <w:szCs w:val="20"/>
              </w:rPr>
              <w:t>).</w:t>
            </w:r>
          </w:p>
          <w:p w14:paraId="4FD81144" w14:textId="46D92435" w:rsidR="00F82798" w:rsidRPr="00FF5628" w:rsidRDefault="000A63FB" w:rsidP="00CD3C2B">
            <w:pPr>
              <w:pStyle w:val="Normal1"/>
              <w:numPr>
                <w:ilvl w:val="0"/>
                <w:numId w:val="9"/>
              </w:numPr>
              <w:spacing w:after="60"/>
              <w:ind w:left="414" w:hanging="414"/>
              <w:rPr>
                <w:rFonts w:ascii="Source Sans Pro Regular" w:hAnsi="Source Sans Pro Regular"/>
                <w:color w:val="898D8D"/>
                <w:sz w:val="20"/>
                <w:szCs w:val="20"/>
              </w:rPr>
            </w:pPr>
            <w:r w:rsidRPr="00FF5628">
              <w:rPr>
                <w:rFonts w:ascii="Source Sans Pro Regular" w:hAnsi="Source Sans Pro Regular"/>
                <w:color w:val="898D8D"/>
                <w:sz w:val="20"/>
                <w:szCs w:val="20"/>
              </w:rPr>
              <w:t>En 2018 (según la ENOE, II trimestre), la tasa de  desempleo para la</w:t>
            </w:r>
            <w:r w:rsidR="00BD4191">
              <w:rPr>
                <w:rFonts w:ascii="Source Sans Pro Regular" w:hAnsi="Source Sans Pro Regular"/>
                <w:color w:val="898D8D"/>
                <w:sz w:val="20"/>
                <w:szCs w:val="20"/>
              </w:rPr>
              <w:t xml:space="preserve"> población de la</w:t>
            </w:r>
            <w:r w:rsidRPr="00FF5628">
              <w:rPr>
                <w:rFonts w:ascii="Source Sans Pro Regular" w:hAnsi="Source Sans Pro Regular"/>
                <w:color w:val="898D8D"/>
                <w:sz w:val="20"/>
                <w:szCs w:val="20"/>
              </w:rPr>
              <w:t xml:space="preserve"> Ciudad es 5.1%. Entre los jóvenes (12 y 29 años) es 10.2%, el doble. </w:t>
            </w:r>
          </w:p>
        </w:tc>
        <w:tc>
          <w:tcPr>
            <w:tcW w:w="2457" w:type="dxa"/>
          </w:tcPr>
          <w:p w14:paraId="2F1B451B" w14:textId="77777777" w:rsidR="00F82798" w:rsidRPr="002C0FBF" w:rsidRDefault="00F82798">
            <w:pPr>
              <w:pStyle w:val="Normal1"/>
              <w:rPr>
                <w:rFonts w:ascii="Source Sans Pro Regular" w:hAnsi="Source Sans Pro Regular"/>
                <w:color w:val="898D8D"/>
                <w:sz w:val="20"/>
                <w:szCs w:val="20"/>
                <w:highlight w:val="green"/>
              </w:rPr>
            </w:pPr>
          </w:p>
        </w:tc>
      </w:tr>
      <w:tr w:rsidR="00F82798" w:rsidRPr="002C0FBF" w14:paraId="37E7C3C3" w14:textId="77777777" w:rsidTr="00517506">
        <w:tc>
          <w:tcPr>
            <w:tcW w:w="2174" w:type="dxa"/>
          </w:tcPr>
          <w:p w14:paraId="09B2A639" w14:textId="2B317E44" w:rsidR="00F82798" w:rsidRPr="00513946" w:rsidRDefault="00513946">
            <w:pPr>
              <w:pStyle w:val="Normal1"/>
              <w:rPr>
                <w:rFonts w:ascii="Source Sans Pro Regular" w:hAnsi="Source Sans Pro Regular"/>
                <w:b/>
                <w:color w:val="898D8D"/>
                <w:sz w:val="20"/>
                <w:szCs w:val="20"/>
              </w:rPr>
            </w:pPr>
            <w:r>
              <w:rPr>
                <w:rFonts w:ascii="Source Sans Pro Regular" w:hAnsi="Source Sans Pro Regular"/>
                <w:b/>
                <w:color w:val="898D8D"/>
                <w:sz w:val="20"/>
                <w:szCs w:val="20"/>
              </w:rPr>
              <w:t>S</w:t>
            </w:r>
            <w:r w:rsidR="000A63FB" w:rsidRPr="00513946">
              <w:rPr>
                <w:rFonts w:ascii="Source Sans Pro Regular" w:hAnsi="Source Sans Pro Regular"/>
                <w:b/>
                <w:color w:val="898D8D"/>
                <w:sz w:val="20"/>
                <w:szCs w:val="20"/>
              </w:rPr>
              <w:t>alarios</w:t>
            </w:r>
          </w:p>
          <w:p w14:paraId="259F9E05" w14:textId="77777777" w:rsidR="00F82798" w:rsidRPr="00FF5628" w:rsidRDefault="00F82798">
            <w:pPr>
              <w:pStyle w:val="Normal1"/>
              <w:rPr>
                <w:rFonts w:ascii="Source Sans Pro Regular" w:hAnsi="Source Sans Pro Regular"/>
                <w:color w:val="898D8D"/>
                <w:sz w:val="20"/>
                <w:szCs w:val="20"/>
              </w:rPr>
            </w:pPr>
          </w:p>
          <w:p w14:paraId="777DD9F7" w14:textId="77777777" w:rsidR="00F82798" w:rsidRPr="00FF5628" w:rsidRDefault="000A63FB">
            <w:pPr>
              <w:pStyle w:val="Normal1"/>
              <w:rPr>
                <w:rFonts w:ascii="Source Sans Pro Regular" w:hAnsi="Source Sans Pro Regular"/>
                <w:color w:val="898D8D"/>
                <w:sz w:val="20"/>
                <w:szCs w:val="20"/>
              </w:rPr>
            </w:pPr>
            <w:r w:rsidRPr="00FF5628">
              <w:rPr>
                <w:rFonts w:ascii="Source Sans Pro Regular" w:hAnsi="Source Sans Pro Regular"/>
                <w:color w:val="898D8D"/>
                <w:sz w:val="20"/>
                <w:szCs w:val="20"/>
              </w:rPr>
              <w:t>Fuentes: Diagnóstico (página 143 y gráfica 3.26)</w:t>
            </w:r>
          </w:p>
        </w:tc>
        <w:tc>
          <w:tcPr>
            <w:tcW w:w="5481" w:type="dxa"/>
          </w:tcPr>
          <w:p w14:paraId="321FC2C1" w14:textId="22D49CDC" w:rsidR="00F82798" w:rsidRPr="00FF5628" w:rsidRDefault="000A63FB" w:rsidP="000C1D8D">
            <w:pPr>
              <w:pStyle w:val="Normal1"/>
              <w:numPr>
                <w:ilvl w:val="0"/>
                <w:numId w:val="9"/>
              </w:numPr>
              <w:spacing w:after="60"/>
              <w:ind w:left="414" w:hanging="414"/>
              <w:rPr>
                <w:rFonts w:ascii="Source Sans Pro Regular" w:hAnsi="Source Sans Pro Regular"/>
                <w:color w:val="898D8D"/>
                <w:sz w:val="20"/>
                <w:szCs w:val="20"/>
              </w:rPr>
            </w:pPr>
            <w:r w:rsidRPr="00FF5628">
              <w:rPr>
                <w:rFonts w:ascii="Source Sans Pro Regular" w:hAnsi="Source Sans Pro Regular"/>
                <w:color w:val="898D8D"/>
                <w:sz w:val="20"/>
                <w:szCs w:val="20"/>
              </w:rPr>
              <w:t>El 16.6% (587,167 personas) de la población ocupada en la Ciudad en 2018 (ENOE 2018, II trimestre) recib</w:t>
            </w:r>
            <w:r w:rsidR="000C1D8D">
              <w:rPr>
                <w:rFonts w:ascii="Source Sans Pro Regular" w:hAnsi="Source Sans Pro Regular"/>
                <w:color w:val="898D8D"/>
                <w:sz w:val="20"/>
                <w:szCs w:val="20"/>
              </w:rPr>
              <w:t>e</w:t>
            </w:r>
            <w:r w:rsidRPr="00FF5628">
              <w:rPr>
                <w:rFonts w:ascii="Source Sans Pro Regular" w:hAnsi="Source Sans Pro Regular"/>
                <w:color w:val="898D8D"/>
                <w:sz w:val="20"/>
                <w:szCs w:val="20"/>
              </w:rPr>
              <w:t xml:space="preserve"> menos de un salario mínimo al mes por su trabajo</w:t>
            </w:r>
            <w:r w:rsidR="000C1D8D">
              <w:rPr>
                <w:rFonts w:ascii="Source Sans Pro Regular" w:hAnsi="Source Sans Pro Regular"/>
                <w:color w:val="898D8D"/>
                <w:sz w:val="20"/>
                <w:szCs w:val="20"/>
              </w:rPr>
              <w:t xml:space="preserve">. Es decir, </w:t>
            </w:r>
            <w:r w:rsidRPr="00FF5628">
              <w:rPr>
                <w:rFonts w:ascii="Source Sans Pro Regular" w:hAnsi="Source Sans Pro Regular"/>
                <w:color w:val="898D8D"/>
                <w:sz w:val="20"/>
                <w:szCs w:val="20"/>
              </w:rPr>
              <w:t>menos de 2,652 pesos.</w:t>
            </w:r>
          </w:p>
        </w:tc>
        <w:tc>
          <w:tcPr>
            <w:tcW w:w="2457" w:type="dxa"/>
          </w:tcPr>
          <w:p w14:paraId="077F40DB" w14:textId="77777777" w:rsidR="00F82798" w:rsidRPr="002C0FBF" w:rsidRDefault="00F82798">
            <w:pPr>
              <w:pStyle w:val="Normal1"/>
              <w:rPr>
                <w:rFonts w:ascii="Source Sans Pro Regular" w:hAnsi="Source Sans Pro Regular"/>
                <w:color w:val="898D8D"/>
                <w:sz w:val="20"/>
                <w:szCs w:val="20"/>
                <w:highlight w:val="green"/>
              </w:rPr>
            </w:pPr>
          </w:p>
        </w:tc>
      </w:tr>
      <w:tr w:rsidR="00F82798" w:rsidRPr="002C0FBF" w14:paraId="4ED8D380" w14:textId="77777777" w:rsidTr="00517506">
        <w:tc>
          <w:tcPr>
            <w:tcW w:w="2174" w:type="dxa"/>
          </w:tcPr>
          <w:p w14:paraId="514DDE24" w14:textId="72D6F698" w:rsidR="00F82798" w:rsidRPr="00513946" w:rsidRDefault="00513946">
            <w:pPr>
              <w:pStyle w:val="Normal1"/>
              <w:rPr>
                <w:rFonts w:ascii="Source Sans Pro Regular" w:hAnsi="Source Sans Pro Regular"/>
                <w:b/>
                <w:color w:val="898D8D"/>
                <w:sz w:val="20"/>
                <w:szCs w:val="20"/>
              </w:rPr>
            </w:pPr>
            <w:r>
              <w:rPr>
                <w:rFonts w:ascii="Source Sans Pro Regular" w:hAnsi="Source Sans Pro Regular"/>
                <w:b/>
                <w:color w:val="898D8D"/>
                <w:sz w:val="20"/>
                <w:szCs w:val="20"/>
              </w:rPr>
              <w:t>D</w:t>
            </w:r>
            <w:r w:rsidR="000A63FB" w:rsidRPr="00513946">
              <w:rPr>
                <w:rFonts w:ascii="Source Sans Pro Regular" w:hAnsi="Source Sans Pro Regular"/>
                <w:b/>
                <w:color w:val="898D8D"/>
                <w:sz w:val="20"/>
                <w:szCs w:val="20"/>
              </w:rPr>
              <w:t>uración</w:t>
            </w:r>
            <w:r w:rsidRPr="00513946">
              <w:rPr>
                <w:rFonts w:ascii="Source Sans Pro Regular" w:hAnsi="Source Sans Pro Regular"/>
                <w:b/>
                <w:color w:val="898D8D"/>
                <w:sz w:val="20"/>
                <w:szCs w:val="20"/>
              </w:rPr>
              <w:t xml:space="preserve"> de la jornada laboral</w:t>
            </w:r>
          </w:p>
          <w:p w14:paraId="334FDDCD" w14:textId="77777777" w:rsidR="00F82798" w:rsidRPr="00FF5628" w:rsidRDefault="00F82798">
            <w:pPr>
              <w:pStyle w:val="Normal1"/>
              <w:rPr>
                <w:rFonts w:ascii="Source Sans Pro Regular" w:hAnsi="Source Sans Pro Regular"/>
                <w:color w:val="898D8D"/>
                <w:sz w:val="20"/>
                <w:szCs w:val="20"/>
              </w:rPr>
            </w:pPr>
          </w:p>
          <w:p w14:paraId="19FCC955" w14:textId="77777777" w:rsidR="00F82798" w:rsidRPr="00FF5628" w:rsidRDefault="000A63FB">
            <w:pPr>
              <w:pStyle w:val="Normal1"/>
              <w:rPr>
                <w:rFonts w:ascii="Source Sans Pro Regular" w:hAnsi="Source Sans Pro Regular"/>
                <w:color w:val="898D8D"/>
                <w:sz w:val="20"/>
                <w:szCs w:val="20"/>
              </w:rPr>
            </w:pPr>
            <w:r w:rsidRPr="00FF5628">
              <w:rPr>
                <w:rFonts w:ascii="Source Sans Pro Regular" w:hAnsi="Source Sans Pro Regular"/>
                <w:color w:val="898D8D"/>
                <w:sz w:val="20"/>
                <w:szCs w:val="20"/>
              </w:rPr>
              <w:t>Fuentes: Diagnóstico (página 145 y gráfica 3.29)</w:t>
            </w:r>
          </w:p>
        </w:tc>
        <w:tc>
          <w:tcPr>
            <w:tcW w:w="5481" w:type="dxa"/>
          </w:tcPr>
          <w:p w14:paraId="11C47CC7" w14:textId="6D0BF29A" w:rsidR="00F82798" w:rsidRPr="00FF5628" w:rsidRDefault="000A63FB" w:rsidP="00D46780">
            <w:pPr>
              <w:pStyle w:val="Normal1"/>
              <w:numPr>
                <w:ilvl w:val="0"/>
                <w:numId w:val="9"/>
              </w:numPr>
              <w:spacing w:after="60"/>
              <w:ind w:left="414" w:hanging="414"/>
              <w:rPr>
                <w:rFonts w:ascii="Source Sans Pro Regular" w:hAnsi="Source Sans Pro Regular"/>
                <w:color w:val="898D8D"/>
                <w:sz w:val="20"/>
                <w:szCs w:val="20"/>
              </w:rPr>
            </w:pPr>
            <w:r w:rsidRPr="00FF5628">
              <w:rPr>
                <w:rFonts w:ascii="Source Sans Pro Regular" w:hAnsi="Source Sans Pro Regular"/>
                <w:color w:val="898D8D"/>
                <w:sz w:val="20"/>
                <w:szCs w:val="20"/>
              </w:rPr>
              <w:t>El 30.4% (1,264,481 personas) de la población ocupada en la Ciudad en 2018 (ENOE 2018, II trimestre) trabaja más de 48 horas a la semana</w:t>
            </w:r>
            <w:r w:rsidR="0013715C">
              <w:rPr>
                <w:rFonts w:ascii="Source Sans Pro Regular" w:hAnsi="Source Sans Pro Regular"/>
                <w:color w:val="898D8D"/>
                <w:sz w:val="20"/>
                <w:szCs w:val="20"/>
              </w:rPr>
              <w:t>.</w:t>
            </w:r>
          </w:p>
        </w:tc>
        <w:tc>
          <w:tcPr>
            <w:tcW w:w="2457" w:type="dxa"/>
          </w:tcPr>
          <w:p w14:paraId="39F388EE" w14:textId="77777777" w:rsidR="00F82798" w:rsidRPr="00FF5628" w:rsidRDefault="00F82798">
            <w:pPr>
              <w:pStyle w:val="Normal1"/>
              <w:rPr>
                <w:rFonts w:ascii="Source Sans Pro Regular" w:hAnsi="Source Sans Pro Regular"/>
                <w:color w:val="898D8D"/>
                <w:sz w:val="20"/>
                <w:szCs w:val="20"/>
              </w:rPr>
            </w:pPr>
          </w:p>
        </w:tc>
      </w:tr>
      <w:tr w:rsidR="00F82798" w:rsidRPr="002C0FBF" w14:paraId="1AB13FB2" w14:textId="77777777" w:rsidTr="00517506">
        <w:tc>
          <w:tcPr>
            <w:tcW w:w="2174" w:type="dxa"/>
          </w:tcPr>
          <w:p w14:paraId="6F36A273" w14:textId="2E4383A9" w:rsidR="00F82798" w:rsidRPr="00513946" w:rsidRDefault="00513946">
            <w:pPr>
              <w:pStyle w:val="Normal1"/>
              <w:rPr>
                <w:rFonts w:ascii="Source Sans Pro Regular" w:hAnsi="Source Sans Pro Regular"/>
                <w:b/>
                <w:color w:val="898D8D"/>
                <w:sz w:val="20"/>
                <w:szCs w:val="20"/>
              </w:rPr>
            </w:pPr>
            <w:r>
              <w:rPr>
                <w:rFonts w:ascii="Source Sans Pro Regular" w:hAnsi="Source Sans Pro Regular"/>
                <w:b/>
                <w:color w:val="898D8D"/>
                <w:sz w:val="20"/>
                <w:szCs w:val="20"/>
              </w:rPr>
              <w:t>I</w:t>
            </w:r>
            <w:r w:rsidR="000A63FB" w:rsidRPr="00513946">
              <w:rPr>
                <w:rFonts w:ascii="Source Sans Pro Regular" w:hAnsi="Source Sans Pro Regular"/>
                <w:b/>
                <w:color w:val="898D8D"/>
                <w:sz w:val="20"/>
                <w:szCs w:val="20"/>
              </w:rPr>
              <w:t>nformalidad</w:t>
            </w:r>
          </w:p>
          <w:p w14:paraId="1E030486" w14:textId="77777777" w:rsidR="00F82798" w:rsidRPr="00FF5628" w:rsidRDefault="00F82798">
            <w:pPr>
              <w:pStyle w:val="Normal1"/>
              <w:rPr>
                <w:rFonts w:ascii="Source Sans Pro Regular" w:hAnsi="Source Sans Pro Regular"/>
                <w:color w:val="898D8D"/>
                <w:sz w:val="20"/>
                <w:szCs w:val="20"/>
              </w:rPr>
            </w:pPr>
          </w:p>
          <w:p w14:paraId="74D14E23" w14:textId="77777777" w:rsidR="00F82798" w:rsidRPr="00FF5628" w:rsidRDefault="000A63FB">
            <w:pPr>
              <w:pStyle w:val="Normal1"/>
              <w:rPr>
                <w:rFonts w:ascii="Source Sans Pro Regular" w:hAnsi="Source Sans Pro Regular"/>
                <w:color w:val="898D8D"/>
                <w:sz w:val="20"/>
                <w:szCs w:val="20"/>
              </w:rPr>
            </w:pPr>
            <w:r w:rsidRPr="00FF5628">
              <w:rPr>
                <w:rFonts w:ascii="Source Sans Pro Regular" w:hAnsi="Source Sans Pro Regular"/>
                <w:color w:val="898D8D"/>
                <w:sz w:val="20"/>
                <w:szCs w:val="20"/>
              </w:rPr>
              <w:t xml:space="preserve">Fuentes: Diagnóstico (gráfica 3.31 y página 148 y </w:t>
            </w:r>
            <w:proofErr w:type="spellStart"/>
            <w:r w:rsidRPr="00FF5628">
              <w:rPr>
                <w:rFonts w:ascii="Source Sans Pro Regular" w:hAnsi="Source Sans Pro Regular"/>
                <w:color w:val="898D8D"/>
                <w:sz w:val="20"/>
                <w:szCs w:val="20"/>
              </w:rPr>
              <w:t>ss</w:t>
            </w:r>
            <w:proofErr w:type="spellEnd"/>
            <w:r w:rsidRPr="00FF5628">
              <w:rPr>
                <w:rFonts w:ascii="Source Sans Pro Regular" w:hAnsi="Source Sans Pro Regular"/>
                <w:color w:val="898D8D"/>
                <w:sz w:val="20"/>
                <w:szCs w:val="20"/>
              </w:rPr>
              <w:t>).</w:t>
            </w:r>
          </w:p>
        </w:tc>
        <w:tc>
          <w:tcPr>
            <w:tcW w:w="5481" w:type="dxa"/>
          </w:tcPr>
          <w:p w14:paraId="1CAF7D2B" w14:textId="47E89529" w:rsidR="00F82798" w:rsidRPr="00FF5628" w:rsidRDefault="000A63FB" w:rsidP="000C1D8D">
            <w:pPr>
              <w:pStyle w:val="Normal1"/>
              <w:numPr>
                <w:ilvl w:val="0"/>
                <w:numId w:val="9"/>
              </w:numPr>
              <w:spacing w:after="60"/>
              <w:ind w:left="414" w:hanging="414"/>
              <w:rPr>
                <w:rFonts w:ascii="Source Sans Pro Regular" w:hAnsi="Source Sans Pro Regular"/>
                <w:color w:val="898D8D"/>
                <w:sz w:val="20"/>
                <w:szCs w:val="20"/>
              </w:rPr>
            </w:pPr>
            <w:r w:rsidRPr="00FF5628">
              <w:rPr>
                <w:rFonts w:ascii="Source Sans Pro Regular" w:hAnsi="Source Sans Pro Regular"/>
                <w:color w:val="898D8D"/>
                <w:sz w:val="20"/>
                <w:szCs w:val="20"/>
              </w:rPr>
              <w:t>En 2018 (ENOE 2018, II trimestre)</w:t>
            </w:r>
            <w:r w:rsidR="00D46780">
              <w:rPr>
                <w:rFonts w:ascii="Source Sans Pro Regular" w:hAnsi="Source Sans Pro Regular"/>
                <w:color w:val="898D8D"/>
                <w:sz w:val="20"/>
                <w:szCs w:val="20"/>
              </w:rPr>
              <w:t>,</w:t>
            </w:r>
            <w:r w:rsidRPr="00FF5628">
              <w:rPr>
                <w:rFonts w:ascii="Source Sans Pro Regular" w:hAnsi="Source Sans Pro Regular"/>
                <w:color w:val="898D8D"/>
                <w:sz w:val="20"/>
                <w:szCs w:val="20"/>
              </w:rPr>
              <w:t xml:space="preserve"> 2.1 millones de personas trabajan en condiciones de informalidad. La proporción de personas en el sector informal supera</w:t>
            </w:r>
            <w:r w:rsidR="00894E3A">
              <w:rPr>
                <w:rFonts w:ascii="Source Sans Pro Regular" w:hAnsi="Source Sans Pro Regular"/>
                <w:color w:val="898D8D"/>
                <w:sz w:val="20"/>
                <w:szCs w:val="20"/>
              </w:rPr>
              <w:t xml:space="preserve"> ligeramente </w:t>
            </w:r>
            <w:r w:rsidRPr="00FF5628">
              <w:rPr>
                <w:rFonts w:ascii="Source Sans Pro Regular" w:hAnsi="Source Sans Pro Regular"/>
                <w:color w:val="898D8D"/>
                <w:sz w:val="20"/>
                <w:szCs w:val="20"/>
              </w:rPr>
              <w:t>a la del sector formal: 50.2 y 49.8%, respectivamente.</w:t>
            </w:r>
          </w:p>
          <w:p w14:paraId="13619631" w14:textId="04BA1BD0" w:rsidR="00F82798" w:rsidRPr="00FF5628" w:rsidRDefault="009446E2" w:rsidP="009446E2">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 xml:space="preserve">El problema de la </w:t>
            </w:r>
            <w:r w:rsidR="00090535">
              <w:rPr>
                <w:rFonts w:ascii="Source Sans Pro Regular" w:hAnsi="Source Sans Pro Regular"/>
                <w:color w:val="898D8D"/>
                <w:sz w:val="20"/>
                <w:szCs w:val="20"/>
              </w:rPr>
              <w:t>informalidad</w:t>
            </w:r>
            <w:r>
              <w:rPr>
                <w:rFonts w:ascii="Source Sans Pro Regular" w:hAnsi="Source Sans Pro Regular"/>
                <w:color w:val="898D8D"/>
                <w:sz w:val="20"/>
                <w:szCs w:val="20"/>
              </w:rPr>
              <w:t xml:space="preserve"> afecta de manera particular a </w:t>
            </w:r>
            <w:r w:rsidR="000A63FB" w:rsidRPr="00FF5628">
              <w:rPr>
                <w:rFonts w:ascii="Source Sans Pro Regular" w:hAnsi="Source Sans Pro Regular"/>
                <w:color w:val="898D8D"/>
                <w:sz w:val="20"/>
                <w:szCs w:val="20"/>
              </w:rPr>
              <w:t xml:space="preserve">los jóvenes y </w:t>
            </w:r>
            <w:r>
              <w:rPr>
                <w:rFonts w:ascii="Source Sans Pro Regular" w:hAnsi="Source Sans Pro Regular"/>
                <w:color w:val="898D8D"/>
                <w:sz w:val="20"/>
                <w:szCs w:val="20"/>
              </w:rPr>
              <w:t xml:space="preserve">a </w:t>
            </w:r>
            <w:r w:rsidR="000A63FB" w:rsidRPr="00FF5628">
              <w:rPr>
                <w:rFonts w:ascii="Source Sans Pro Regular" w:hAnsi="Source Sans Pro Regular"/>
                <w:color w:val="898D8D"/>
                <w:sz w:val="20"/>
                <w:szCs w:val="20"/>
              </w:rPr>
              <w:t xml:space="preserve">las personas adultas mayores, pues en ambos grupos la participación en este sector de la economía es elevado: 54.3% y 61.2%, respectivamente. </w:t>
            </w:r>
          </w:p>
        </w:tc>
        <w:tc>
          <w:tcPr>
            <w:tcW w:w="2457" w:type="dxa"/>
          </w:tcPr>
          <w:p w14:paraId="21CB98CA" w14:textId="77777777" w:rsidR="00F82798" w:rsidRPr="00FF5628" w:rsidRDefault="00F82798">
            <w:pPr>
              <w:pStyle w:val="Normal1"/>
              <w:rPr>
                <w:rFonts w:ascii="Source Sans Pro Regular" w:hAnsi="Source Sans Pro Regular"/>
                <w:color w:val="898D8D"/>
                <w:sz w:val="20"/>
                <w:szCs w:val="20"/>
              </w:rPr>
            </w:pPr>
          </w:p>
        </w:tc>
      </w:tr>
      <w:tr w:rsidR="00F82798" w:rsidRPr="002C0FBF" w14:paraId="5EF61BFD" w14:textId="77777777" w:rsidTr="00517506">
        <w:tc>
          <w:tcPr>
            <w:tcW w:w="2174" w:type="dxa"/>
          </w:tcPr>
          <w:p w14:paraId="1CE55FFD" w14:textId="77777777" w:rsidR="00F82798" w:rsidRPr="00FF5628" w:rsidRDefault="000A63FB">
            <w:pPr>
              <w:pStyle w:val="Normal1"/>
              <w:rPr>
                <w:rFonts w:ascii="Source Sans Pro Regular" w:hAnsi="Source Sans Pro Regular"/>
                <w:color w:val="898D8D"/>
                <w:sz w:val="20"/>
                <w:szCs w:val="20"/>
              </w:rPr>
            </w:pPr>
            <w:r w:rsidRPr="00FF5628">
              <w:rPr>
                <w:rFonts w:ascii="Source Sans Pro Regular" w:hAnsi="Source Sans Pro Regular"/>
                <w:color w:val="898D8D"/>
                <w:sz w:val="20"/>
                <w:szCs w:val="20"/>
              </w:rPr>
              <w:t>Brechas de ingreso laboral por género</w:t>
            </w:r>
          </w:p>
          <w:p w14:paraId="26A03BF6" w14:textId="77777777" w:rsidR="00F82798" w:rsidRPr="00FF5628" w:rsidRDefault="00F82798">
            <w:pPr>
              <w:pStyle w:val="Normal1"/>
              <w:rPr>
                <w:rFonts w:ascii="Source Sans Pro Regular" w:hAnsi="Source Sans Pro Regular"/>
                <w:color w:val="898D8D"/>
                <w:sz w:val="20"/>
                <w:szCs w:val="20"/>
              </w:rPr>
            </w:pPr>
          </w:p>
          <w:p w14:paraId="6C29180B" w14:textId="77777777" w:rsidR="00F82798" w:rsidRPr="00FF5628" w:rsidRDefault="000A63FB">
            <w:pPr>
              <w:pStyle w:val="Normal1"/>
              <w:rPr>
                <w:rFonts w:ascii="Source Sans Pro Regular" w:hAnsi="Source Sans Pro Regular"/>
                <w:color w:val="898D8D"/>
                <w:sz w:val="20"/>
                <w:szCs w:val="20"/>
              </w:rPr>
            </w:pPr>
            <w:r w:rsidRPr="00FF5628">
              <w:rPr>
                <w:rFonts w:ascii="Source Sans Pro Regular" w:hAnsi="Source Sans Pro Regular"/>
                <w:color w:val="898D8D"/>
                <w:sz w:val="20"/>
                <w:szCs w:val="20"/>
              </w:rPr>
              <w:t>Fuentes: Diagnóstico (figura 3.5)</w:t>
            </w:r>
          </w:p>
        </w:tc>
        <w:tc>
          <w:tcPr>
            <w:tcW w:w="5481" w:type="dxa"/>
          </w:tcPr>
          <w:p w14:paraId="7F8C495D" w14:textId="52F1A469" w:rsidR="00F82798" w:rsidRPr="00FF5628" w:rsidRDefault="00DA7A08" w:rsidP="001E7EA6">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 xml:space="preserve">En la capital del país existen </w:t>
            </w:r>
            <w:r w:rsidR="000A63FB" w:rsidRPr="00FF5628">
              <w:rPr>
                <w:rFonts w:ascii="Source Sans Pro Regular" w:hAnsi="Source Sans Pro Regular"/>
                <w:color w:val="898D8D"/>
                <w:sz w:val="20"/>
                <w:szCs w:val="20"/>
              </w:rPr>
              <w:t>brechas de ingreso laboral por género. Con una economía enfocada en el sector terciario</w:t>
            </w:r>
            <w:r w:rsidR="00BF3678">
              <w:rPr>
                <w:rFonts w:ascii="Source Sans Pro Regular" w:hAnsi="Source Sans Pro Regular"/>
                <w:color w:val="898D8D"/>
                <w:sz w:val="20"/>
                <w:szCs w:val="20"/>
              </w:rPr>
              <w:t>,</w:t>
            </w:r>
            <w:r w:rsidR="000A63FB" w:rsidRPr="00FF5628">
              <w:rPr>
                <w:rFonts w:ascii="Source Sans Pro Regular" w:hAnsi="Source Sans Pro Regular"/>
                <w:color w:val="898D8D"/>
                <w:sz w:val="20"/>
                <w:szCs w:val="20"/>
              </w:rPr>
              <w:t xml:space="preserve"> es de especial atención el subsector de construcción, donde las mujeres ganan </w:t>
            </w:r>
            <w:r w:rsidR="00BF3678">
              <w:rPr>
                <w:rFonts w:ascii="Source Sans Pro Regular" w:hAnsi="Source Sans Pro Regular"/>
                <w:color w:val="898D8D"/>
                <w:sz w:val="20"/>
                <w:szCs w:val="20"/>
              </w:rPr>
              <w:t>aproximadamente</w:t>
            </w:r>
            <w:r w:rsidR="000A63FB" w:rsidRPr="00FF5628">
              <w:rPr>
                <w:rFonts w:ascii="Source Sans Pro Regular" w:hAnsi="Source Sans Pro Regular"/>
                <w:color w:val="898D8D"/>
                <w:sz w:val="20"/>
                <w:szCs w:val="20"/>
              </w:rPr>
              <w:t xml:space="preserve"> $40 pesos menos por cada $100 que ganan los hombres.</w:t>
            </w:r>
          </w:p>
          <w:p w14:paraId="43E7803A" w14:textId="1B3D2A83" w:rsidR="00F82798" w:rsidRPr="00FF5628" w:rsidRDefault="000A63FB" w:rsidP="00BF3678">
            <w:pPr>
              <w:pStyle w:val="Normal1"/>
              <w:numPr>
                <w:ilvl w:val="0"/>
                <w:numId w:val="9"/>
              </w:numPr>
              <w:spacing w:after="60"/>
              <w:ind w:left="414" w:hanging="414"/>
              <w:rPr>
                <w:rFonts w:ascii="Source Sans Pro Regular" w:hAnsi="Source Sans Pro Regular"/>
                <w:color w:val="898D8D"/>
                <w:sz w:val="20"/>
                <w:szCs w:val="20"/>
              </w:rPr>
            </w:pPr>
            <w:r w:rsidRPr="00FF5628">
              <w:rPr>
                <w:rFonts w:ascii="Source Sans Pro Regular" w:hAnsi="Source Sans Pro Regular"/>
                <w:color w:val="898D8D"/>
                <w:sz w:val="20"/>
                <w:szCs w:val="20"/>
              </w:rPr>
              <w:lastRenderedPageBreak/>
              <w:t>En la industria manufacturera, las mujeres ganan $25 menos por cada 100$ que ganan los hombres; en el comercio $16.5 menos; en el gobierno y en organismos internacionales, $10.2; en los servicios sociales $4 menos; y en los servicios profesionales y financieros $12.4 menos.</w:t>
            </w:r>
          </w:p>
        </w:tc>
        <w:tc>
          <w:tcPr>
            <w:tcW w:w="2457" w:type="dxa"/>
          </w:tcPr>
          <w:p w14:paraId="232F0C43" w14:textId="77777777" w:rsidR="00F82798" w:rsidRPr="00FF5628" w:rsidRDefault="00F82798">
            <w:pPr>
              <w:pStyle w:val="Normal1"/>
              <w:rPr>
                <w:rFonts w:ascii="Source Sans Pro Regular" w:hAnsi="Source Sans Pro Regular"/>
                <w:color w:val="898D8D"/>
                <w:sz w:val="20"/>
                <w:szCs w:val="20"/>
              </w:rPr>
            </w:pPr>
          </w:p>
        </w:tc>
      </w:tr>
      <w:tr w:rsidR="00F82798" w:rsidRPr="002C0FBF" w14:paraId="1115F9C4" w14:textId="77777777" w:rsidTr="00517506">
        <w:tc>
          <w:tcPr>
            <w:tcW w:w="2174" w:type="dxa"/>
          </w:tcPr>
          <w:p w14:paraId="229C94D9" w14:textId="77777777" w:rsidR="00F82798" w:rsidRPr="00E40AF1" w:rsidRDefault="000A63FB">
            <w:pPr>
              <w:pStyle w:val="Normal1"/>
              <w:rPr>
                <w:rFonts w:ascii="Source Sans Pro Regular" w:hAnsi="Source Sans Pro Regular"/>
                <w:b/>
                <w:color w:val="898D8D"/>
                <w:sz w:val="20"/>
                <w:szCs w:val="20"/>
              </w:rPr>
            </w:pPr>
            <w:r w:rsidRPr="00E40AF1">
              <w:rPr>
                <w:rFonts w:ascii="Source Sans Pro Regular" w:hAnsi="Source Sans Pro Regular"/>
                <w:b/>
                <w:color w:val="898D8D"/>
                <w:sz w:val="20"/>
                <w:szCs w:val="20"/>
              </w:rPr>
              <w:t>Trabajo no remunerado</w:t>
            </w:r>
          </w:p>
          <w:p w14:paraId="6C071DCC" w14:textId="77777777" w:rsidR="00F82798" w:rsidRPr="00FF5628" w:rsidRDefault="00F82798">
            <w:pPr>
              <w:pStyle w:val="Normal1"/>
              <w:rPr>
                <w:rFonts w:ascii="Source Sans Pro Regular" w:hAnsi="Source Sans Pro Regular"/>
                <w:color w:val="898D8D"/>
                <w:sz w:val="20"/>
                <w:szCs w:val="20"/>
              </w:rPr>
            </w:pPr>
          </w:p>
          <w:p w14:paraId="680F1A8F" w14:textId="77777777" w:rsidR="00F82798" w:rsidRPr="00FF5628" w:rsidRDefault="000A63FB">
            <w:pPr>
              <w:pStyle w:val="Normal1"/>
              <w:rPr>
                <w:rFonts w:ascii="Source Sans Pro Regular" w:hAnsi="Source Sans Pro Regular"/>
                <w:color w:val="898D8D"/>
                <w:sz w:val="20"/>
                <w:szCs w:val="20"/>
              </w:rPr>
            </w:pPr>
            <w:r w:rsidRPr="00FF5628">
              <w:rPr>
                <w:rFonts w:ascii="Source Sans Pro Regular" w:hAnsi="Source Sans Pro Regular"/>
                <w:color w:val="898D8D"/>
                <w:sz w:val="20"/>
                <w:szCs w:val="20"/>
              </w:rPr>
              <w:t>Fuentes: Diagnóstico (cuadro 3.4 y gráfica 3.35)</w:t>
            </w:r>
          </w:p>
        </w:tc>
        <w:tc>
          <w:tcPr>
            <w:tcW w:w="5481" w:type="dxa"/>
          </w:tcPr>
          <w:p w14:paraId="267ADF1B" w14:textId="046622F1" w:rsidR="00F82798" w:rsidRPr="00FF5628" w:rsidRDefault="000A63FB" w:rsidP="00F5050D">
            <w:pPr>
              <w:pStyle w:val="Normal1"/>
              <w:numPr>
                <w:ilvl w:val="0"/>
                <w:numId w:val="9"/>
              </w:numPr>
              <w:spacing w:after="60"/>
              <w:ind w:left="414" w:hanging="414"/>
              <w:rPr>
                <w:rFonts w:ascii="Source Sans Pro Regular" w:hAnsi="Source Sans Pro Regular"/>
                <w:color w:val="898D8D"/>
                <w:sz w:val="20"/>
                <w:szCs w:val="20"/>
              </w:rPr>
            </w:pPr>
            <w:r w:rsidRPr="00FF5628">
              <w:rPr>
                <w:rFonts w:ascii="Source Sans Pro Regular" w:hAnsi="Source Sans Pro Regular"/>
                <w:color w:val="898D8D"/>
                <w:sz w:val="20"/>
                <w:szCs w:val="20"/>
              </w:rPr>
              <w:t>En 2015, en promedio, las mujeres dedican al trabajo no remunerado 41:34 horas a la semana, contra 18:19 que dedican los hombres.</w:t>
            </w:r>
          </w:p>
          <w:p w14:paraId="0BD40741" w14:textId="77777777" w:rsidR="00AE0C7D" w:rsidRDefault="00A44A78" w:rsidP="00F5050D">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Los resultados obtenidos ponen de manifiesto la elevada carga que representa para las mujeres este tipo de trabajo, es</w:t>
            </w:r>
            <w:r w:rsidR="000A63FB" w:rsidRPr="00FF5628">
              <w:rPr>
                <w:rFonts w:ascii="Source Sans Pro Regular" w:hAnsi="Source Sans Pro Regular"/>
                <w:color w:val="898D8D"/>
                <w:sz w:val="20"/>
                <w:szCs w:val="20"/>
              </w:rPr>
              <w:t xml:space="preserve">pecialmente </w:t>
            </w:r>
            <w:r>
              <w:rPr>
                <w:rFonts w:ascii="Source Sans Pro Regular" w:hAnsi="Source Sans Pro Regular"/>
                <w:color w:val="898D8D"/>
                <w:sz w:val="20"/>
                <w:szCs w:val="20"/>
              </w:rPr>
              <w:t xml:space="preserve">en el </w:t>
            </w:r>
            <w:r w:rsidR="00AE0C7D">
              <w:rPr>
                <w:rFonts w:ascii="Source Sans Pro Regular" w:hAnsi="Source Sans Pro Regular"/>
                <w:color w:val="898D8D"/>
                <w:sz w:val="20"/>
                <w:szCs w:val="20"/>
              </w:rPr>
              <w:t>rango</w:t>
            </w:r>
            <w:r>
              <w:rPr>
                <w:rFonts w:ascii="Source Sans Pro Regular" w:hAnsi="Source Sans Pro Regular"/>
                <w:color w:val="898D8D"/>
                <w:sz w:val="20"/>
                <w:szCs w:val="20"/>
              </w:rPr>
              <w:t xml:space="preserve"> de 25 a 44 años, donde las mujeres </w:t>
            </w:r>
            <w:r w:rsidR="000A63FB" w:rsidRPr="00FF5628">
              <w:rPr>
                <w:rFonts w:ascii="Source Sans Pro Regular" w:hAnsi="Source Sans Pro Regular"/>
                <w:color w:val="898D8D"/>
                <w:sz w:val="20"/>
                <w:szCs w:val="20"/>
              </w:rPr>
              <w:t>dedican casi 52 horas a la semana a</w:t>
            </w:r>
            <w:r>
              <w:rPr>
                <w:rFonts w:ascii="Source Sans Pro Regular" w:hAnsi="Source Sans Pro Regular"/>
                <w:color w:val="898D8D"/>
                <w:sz w:val="20"/>
                <w:szCs w:val="20"/>
              </w:rPr>
              <w:t>l</w:t>
            </w:r>
            <w:r w:rsidR="000A63FB" w:rsidRPr="00FF5628">
              <w:rPr>
                <w:rFonts w:ascii="Source Sans Pro Regular" w:hAnsi="Source Sans Pro Regular"/>
                <w:color w:val="898D8D"/>
                <w:sz w:val="20"/>
                <w:szCs w:val="20"/>
              </w:rPr>
              <w:t xml:space="preserve"> trabajo no remunerado, equivalente a una jornada de 8 horas</w:t>
            </w:r>
            <w:r w:rsidR="00AE0C7D">
              <w:rPr>
                <w:rFonts w:ascii="Source Sans Pro Regular" w:hAnsi="Source Sans Pro Regular"/>
                <w:color w:val="898D8D"/>
                <w:sz w:val="20"/>
                <w:szCs w:val="20"/>
              </w:rPr>
              <w:t xml:space="preserve"> durante 6 días a la semana</w:t>
            </w:r>
            <w:r w:rsidR="000A63FB" w:rsidRPr="00FF5628">
              <w:rPr>
                <w:rFonts w:ascii="Source Sans Pro Regular" w:hAnsi="Source Sans Pro Regular"/>
                <w:color w:val="898D8D"/>
                <w:sz w:val="20"/>
                <w:szCs w:val="20"/>
              </w:rPr>
              <w:t>.</w:t>
            </w:r>
          </w:p>
          <w:p w14:paraId="3C0A8C07" w14:textId="034E2824" w:rsidR="00F82798" w:rsidRPr="00FF5628" w:rsidRDefault="00AE0C7D" w:rsidP="00F5050D">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 xml:space="preserve">Este problema es también elevado entre las </w:t>
            </w:r>
            <w:r w:rsidR="000A63FB" w:rsidRPr="00FF5628">
              <w:rPr>
                <w:rFonts w:ascii="Source Sans Pro Regular" w:hAnsi="Source Sans Pro Regular"/>
                <w:color w:val="898D8D"/>
                <w:sz w:val="20"/>
                <w:szCs w:val="20"/>
              </w:rPr>
              <w:t xml:space="preserve">mujeres ocupadas de tiempo completo, quienes, además de su jornada laboral, dedican más de 20 horas </w:t>
            </w:r>
            <w:r>
              <w:rPr>
                <w:rFonts w:ascii="Source Sans Pro Regular" w:hAnsi="Source Sans Pro Regular"/>
                <w:color w:val="898D8D"/>
                <w:sz w:val="20"/>
                <w:szCs w:val="20"/>
              </w:rPr>
              <w:t xml:space="preserve">semanales </w:t>
            </w:r>
            <w:r w:rsidR="000A63FB" w:rsidRPr="00FF5628">
              <w:rPr>
                <w:rFonts w:ascii="Source Sans Pro Regular" w:hAnsi="Source Sans Pro Regular"/>
                <w:color w:val="898D8D"/>
                <w:sz w:val="20"/>
                <w:szCs w:val="20"/>
              </w:rPr>
              <w:t>al TNR</w:t>
            </w:r>
            <w:r>
              <w:rPr>
                <w:rFonts w:ascii="Source Sans Pro Regular" w:hAnsi="Source Sans Pro Regular"/>
                <w:color w:val="898D8D"/>
                <w:sz w:val="20"/>
                <w:szCs w:val="20"/>
              </w:rPr>
              <w:t xml:space="preserve"> en promedio</w:t>
            </w:r>
            <w:r w:rsidR="000A63FB" w:rsidRPr="00FF5628">
              <w:rPr>
                <w:rFonts w:ascii="Source Sans Pro Regular" w:hAnsi="Source Sans Pro Regular"/>
                <w:color w:val="898D8D"/>
                <w:sz w:val="20"/>
                <w:szCs w:val="20"/>
              </w:rPr>
              <w:t xml:space="preserve">. </w:t>
            </w:r>
          </w:p>
          <w:p w14:paraId="5E69385F" w14:textId="77777777" w:rsidR="00F82798" w:rsidRPr="00FF5628" w:rsidRDefault="000A63FB">
            <w:pPr>
              <w:pStyle w:val="Normal1"/>
              <w:rPr>
                <w:rFonts w:ascii="Source Sans Pro Regular" w:hAnsi="Source Sans Pro Regular"/>
                <w:color w:val="898D8D"/>
                <w:sz w:val="20"/>
                <w:szCs w:val="20"/>
              </w:rPr>
            </w:pPr>
            <w:r w:rsidRPr="00FF5628">
              <w:rPr>
                <w:rFonts w:ascii="Source Sans Pro Regular" w:hAnsi="Source Sans Pro Regular"/>
                <w:i/>
                <w:color w:val="898D8D"/>
                <w:sz w:val="20"/>
                <w:szCs w:val="20"/>
              </w:rPr>
              <w:t>El trabajo no remunerado (TNR) incluye hacer las compras para la comida o la limpieza; el aseo de la vivienda; preparar o servir alimentos para la familia; atender a personas adultas mayores, y niños y niñas; atender a personas enfermas y a personas con discapacidad.</w:t>
            </w:r>
            <w:r w:rsidRPr="00FF5628">
              <w:rPr>
                <w:rFonts w:ascii="Source Sans Pro Regular" w:hAnsi="Source Sans Pro Regular"/>
                <w:color w:val="898D8D"/>
                <w:sz w:val="20"/>
                <w:szCs w:val="20"/>
              </w:rPr>
              <w:t xml:space="preserve"> </w:t>
            </w:r>
          </w:p>
        </w:tc>
        <w:tc>
          <w:tcPr>
            <w:tcW w:w="2457" w:type="dxa"/>
          </w:tcPr>
          <w:p w14:paraId="05A47480" w14:textId="77777777" w:rsidR="00F82798" w:rsidRPr="00FF5628" w:rsidRDefault="00F82798">
            <w:pPr>
              <w:pStyle w:val="Normal1"/>
              <w:rPr>
                <w:rFonts w:ascii="Source Sans Pro Regular" w:hAnsi="Source Sans Pro Regular"/>
                <w:color w:val="898D8D"/>
                <w:sz w:val="20"/>
                <w:szCs w:val="20"/>
              </w:rPr>
            </w:pPr>
          </w:p>
        </w:tc>
      </w:tr>
    </w:tbl>
    <w:p w14:paraId="76ABC2D5" w14:textId="77777777" w:rsidR="000146DE" w:rsidRDefault="000146DE"/>
    <w:tbl>
      <w:tblPr>
        <w:tblStyle w:val="a"/>
        <w:tblW w:w="101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4"/>
        <w:gridCol w:w="5481"/>
        <w:gridCol w:w="2457"/>
      </w:tblGrid>
      <w:tr w:rsidR="00F82798" w:rsidRPr="000146DE" w14:paraId="233963FD" w14:textId="77777777" w:rsidTr="000146DE">
        <w:trPr>
          <w:trHeight w:val="340"/>
        </w:trPr>
        <w:tc>
          <w:tcPr>
            <w:tcW w:w="10112" w:type="dxa"/>
            <w:gridSpan w:val="3"/>
            <w:shd w:val="solid" w:color="008000" w:fill="auto"/>
            <w:vAlign w:val="center"/>
          </w:tcPr>
          <w:p w14:paraId="131B8E93" w14:textId="423C2E9F" w:rsidR="00F82798" w:rsidRPr="000146DE" w:rsidRDefault="0049710D" w:rsidP="000146DE">
            <w:pPr>
              <w:pStyle w:val="Normal1"/>
              <w:jc w:val="center"/>
              <w:rPr>
                <w:rFonts w:ascii="Source Sans Pro Regular" w:hAnsi="Source Sans Pro Regular"/>
                <w:b/>
                <w:color w:val="FFFFFF" w:themeColor="background1"/>
                <w:sz w:val="20"/>
                <w:szCs w:val="20"/>
              </w:rPr>
            </w:pPr>
            <w:r>
              <w:rPr>
                <w:rFonts w:ascii="Source Sans Pro Regular" w:hAnsi="Source Sans Pro Regular"/>
                <w:b/>
                <w:color w:val="FFFFFF" w:themeColor="background1"/>
                <w:sz w:val="20"/>
                <w:szCs w:val="20"/>
              </w:rPr>
              <w:t xml:space="preserve">(Capítulo 4) </w:t>
            </w:r>
            <w:r w:rsidR="000146DE">
              <w:rPr>
                <w:rFonts w:ascii="Source Sans Pro Regular" w:hAnsi="Source Sans Pro Regular"/>
                <w:b/>
                <w:color w:val="FFFFFF" w:themeColor="background1"/>
                <w:sz w:val="20"/>
                <w:szCs w:val="20"/>
              </w:rPr>
              <w:t>POBREZA Y DESIGUALDAD</w:t>
            </w:r>
          </w:p>
        </w:tc>
      </w:tr>
      <w:tr w:rsidR="00F82798" w:rsidRPr="000146DE" w14:paraId="3080647C" w14:textId="77777777" w:rsidTr="00517506">
        <w:tc>
          <w:tcPr>
            <w:tcW w:w="2174" w:type="dxa"/>
            <w:shd w:val="solid" w:color="008000" w:fill="auto"/>
          </w:tcPr>
          <w:p w14:paraId="6BBD986E" w14:textId="77777777" w:rsidR="00F82798" w:rsidRPr="000146DE" w:rsidRDefault="000A63FB">
            <w:pPr>
              <w:pStyle w:val="Normal1"/>
              <w:rPr>
                <w:rFonts w:ascii="Source Sans Pro Regular" w:hAnsi="Source Sans Pro Regular"/>
                <w:b/>
                <w:color w:val="FFFFFF" w:themeColor="background1"/>
                <w:sz w:val="20"/>
                <w:szCs w:val="20"/>
              </w:rPr>
            </w:pPr>
            <w:r w:rsidRPr="000146DE">
              <w:rPr>
                <w:rFonts w:ascii="Source Sans Pro Regular" w:hAnsi="Source Sans Pro Regular"/>
                <w:b/>
                <w:color w:val="FFFFFF" w:themeColor="background1"/>
                <w:sz w:val="20"/>
                <w:szCs w:val="20"/>
              </w:rPr>
              <w:t>Temas y fuente</w:t>
            </w:r>
          </w:p>
        </w:tc>
        <w:tc>
          <w:tcPr>
            <w:tcW w:w="5481" w:type="dxa"/>
            <w:shd w:val="solid" w:color="008000" w:fill="auto"/>
          </w:tcPr>
          <w:p w14:paraId="638DA4A7" w14:textId="77777777" w:rsidR="00F82798" w:rsidRPr="000146DE" w:rsidRDefault="000A63FB">
            <w:pPr>
              <w:pStyle w:val="Normal1"/>
              <w:rPr>
                <w:rFonts w:ascii="Source Sans Pro Regular" w:hAnsi="Source Sans Pro Regular"/>
                <w:b/>
                <w:color w:val="FFFFFF" w:themeColor="background1"/>
                <w:sz w:val="20"/>
                <w:szCs w:val="20"/>
              </w:rPr>
            </w:pPr>
            <w:r w:rsidRPr="000146DE">
              <w:rPr>
                <w:rFonts w:ascii="Source Sans Pro Regular" w:hAnsi="Source Sans Pro Regular"/>
                <w:b/>
                <w:color w:val="FFFFFF" w:themeColor="background1"/>
                <w:sz w:val="20"/>
                <w:szCs w:val="20"/>
              </w:rPr>
              <w:t>Indicadores</w:t>
            </w:r>
          </w:p>
        </w:tc>
        <w:tc>
          <w:tcPr>
            <w:tcW w:w="2457" w:type="dxa"/>
            <w:shd w:val="solid" w:color="008000" w:fill="auto"/>
          </w:tcPr>
          <w:p w14:paraId="4BF27BB3" w14:textId="77777777" w:rsidR="00F82798" w:rsidRPr="000146DE" w:rsidRDefault="00F82798">
            <w:pPr>
              <w:pStyle w:val="Normal1"/>
              <w:rPr>
                <w:rFonts w:ascii="Source Sans Pro Regular" w:hAnsi="Source Sans Pro Regular"/>
                <w:color w:val="FFFFFF" w:themeColor="background1"/>
                <w:sz w:val="20"/>
                <w:szCs w:val="20"/>
              </w:rPr>
            </w:pPr>
          </w:p>
        </w:tc>
      </w:tr>
      <w:tr w:rsidR="00F82798" w:rsidRPr="002C0FBF" w14:paraId="0F000A50" w14:textId="77777777" w:rsidTr="00517506">
        <w:tc>
          <w:tcPr>
            <w:tcW w:w="2174" w:type="dxa"/>
          </w:tcPr>
          <w:p w14:paraId="489BB673" w14:textId="482C0F0B" w:rsidR="00F82798" w:rsidRPr="002E091D" w:rsidRDefault="002E091D">
            <w:pPr>
              <w:pStyle w:val="Normal1"/>
              <w:rPr>
                <w:rFonts w:ascii="Source Sans Pro Regular" w:hAnsi="Source Sans Pro Regular"/>
                <w:b/>
                <w:color w:val="898D8D"/>
                <w:sz w:val="20"/>
                <w:szCs w:val="20"/>
              </w:rPr>
            </w:pPr>
            <w:r w:rsidRPr="002E091D">
              <w:rPr>
                <w:rFonts w:ascii="Source Sans Pro Regular" w:hAnsi="Source Sans Pro Regular"/>
                <w:b/>
                <w:color w:val="898D8D"/>
                <w:sz w:val="20"/>
                <w:szCs w:val="20"/>
              </w:rPr>
              <w:t>Incidencia y estratos</w:t>
            </w:r>
          </w:p>
          <w:p w14:paraId="18B3259C" w14:textId="77777777" w:rsidR="00F82798" w:rsidRPr="002C0FBF" w:rsidRDefault="00F82798">
            <w:pPr>
              <w:pStyle w:val="Normal1"/>
              <w:rPr>
                <w:rFonts w:ascii="Source Sans Pro Regular" w:hAnsi="Source Sans Pro Regular"/>
                <w:color w:val="898D8D"/>
                <w:sz w:val="20"/>
                <w:szCs w:val="20"/>
              </w:rPr>
            </w:pPr>
          </w:p>
          <w:p w14:paraId="2BB67E41"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(gráfica 4.2 y página 170)</w:t>
            </w:r>
          </w:p>
        </w:tc>
        <w:tc>
          <w:tcPr>
            <w:tcW w:w="5481" w:type="dxa"/>
          </w:tcPr>
          <w:p w14:paraId="13166061" w14:textId="77777777" w:rsidR="00F82798" w:rsidRPr="002C0FBF" w:rsidRDefault="000A63FB" w:rsidP="00B72AA4">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Los resultados del MMIP (Método de Medición integrada de la Pobreza) correspondientes al año 2018 muestran que en la Ciudad la mitad de la población (el 52.5%, 4.6 millones de personas) se encuentra en pobreza.</w:t>
            </w:r>
          </w:p>
          <w:p w14:paraId="1FA8B2B1" w14:textId="618BF0DA" w:rsidR="00F82798" w:rsidRPr="002C0FBF" w:rsidRDefault="000A63FB" w:rsidP="00B72AA4">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El 33% de la población se encuentra en pobreza moderada (2.9</w:t>
            </w:r>
            <w:r w:rsidR="00B72AA4">
              <w:rPr>
                <w:rFonts w:ascii="Source Sans Pro Regular" w:hAnsi="Source Sans Pro Regular"/>
                <w:color w:val="898D8D"/>
                <w:sz w:val="20"/>
                <w:szCs w:val="20"/>
              </w:rPr>
              <w:t xml:space="preserve"> millones</w:t>
            </w:r>
            <w:r w:rsidRPr="002C0FBF">
              <w:rPr>
                <w:rFonts w:ascii="Source Sans Pro Regular" w:hAnsi="Source Sans Pro Regular"/>
                <w:color w:val="898D8D"/>
                <w:sz w:val="20"/>
                <w:szCs w:val="20"/>
              </w:rPr>
              <w:t>) y casi el 20% (1.7</w:t>
            </w:r>
            <w:r w:rsidR="00B72AA4">
              <w:rPr>
                <w:rFonts w:ascii="Source Sans Pro Regular" w:hAnsi="Source Sans Pro Regular"/>
                <w:color w:val="898D8D"/>
                <w:sz w:val="20"/>
                <w:szCs w:val="20"/>
              </w:rPr>
              <w:t xml:space="preserve"> millones</w:t>
            </w:r>
            <w:r w:rsidRPr="002C0FBF">
              <w:rPr>
                <w:rFonts w:ascii="Source Sans Pro Regular" w:hAnsi="Source Sans Pro Regular"/>
                <w:color w:val="898D8D"/>
                <w:sz w:val="20"/>
                <w:szCs w:val="20"/>
              </w:rPr>
              <w:t>) en pobreza extrema. El 12.5% de la población en pobreza extrema está en pobreza alta (1 millón) y el 7.1% en pobreza muy alta (622,000</w:t>
            </w:r>
            <w:r w:rsidR="00B72AA4">
              <w:rPr>
                <w:rFonts w:ascii="Source Sans Pro Regular" w:hAnsi="Source Sans Pro Regular"/>
                <w:color w:val="898D8D"/>
                <w:sz w:val="20"/>
                <w:szCs w:val="20"/>
              </w:rPr>
              <w:t xml:space="preserve"> personas aproximadamente</w:t>
            </w:r>
            <w:r w:rsidRPr="002C0FBF">
              <w:rPr>
                <w:rFonts w:ascii="Source Sans Pro Regular" w:hAnsi="Source Sans Pro Regular"/>
                <w:color w:val="898D8D"/>
                <w:sz w:val="20"/>
                <w:szCs w:val="20"/>
              </w:rPr>
              <w:t xml:space="preserve">).  </w:t>
            </w:r>
          </w:p>
          <w:p w14:paraId="761DDABE" w14:textId="764F54BA" w:rsidR="00F82798" w:rsidRPr="0050324E" w:rsidRDefault="000A63FB" w:rsidP="00B72AA4">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Los cerca de 1.7 millones de personas en pobreza extrema que viven en la Ciudad satisfacen, en promedio, menos del 66% de las normas del MMIP. </w:t>
            </w:r>
          </w:p>
        </w:tc>
        <w:tc>
          <w:tcPr>
            <w:tcW w:w="2457" w:type="dxa"/>
          </w:tcPr>
          <w:p w14:paraId="725DAE99" w14:textId="77777777" w:rsidR="00F82798" w:rsidRPr="002C0FBF" w:rsidRDefault="00F82798">
            <w:pPr>
              <w:pStyle w:val="Normal1"/>
              <w:rPr>
                <w:rFonts w:ascii="Source Sans Pro Regular" w:hAnsi="Source Sans Pro Regular"/>
                <w:color w:val="898D8D"/>
                <w:sz w:val="20"/>
                <w:szCs w:val="20"/>
              </w:rPr>
            </w:pPr>
          </w:p>
        </w:tc>
      </w:tr>
      <w:tr w:rsidR="00F82798" w:rsidRPr="002C0FBF" w14:paraId="27AB59AB" w14:textId="77777777" w:rsidTr="00517506">
        <w:tc>
          <w:tcPr>
            <w:tcW w:w="2174" w:type="dxa"/>
          </w:tcPr>
          <w:p w14:paraId="0F9853BE" w14:textId="77777777" w:rsidR="00F82798" w:rsidRPr="00E36932" w:rsidRDefault="000A63FB">
            <w:pPr>
              <w:pStyle w:val="Normal1"/>
              <w:rPr>
                <w:rFonts w:ascii="Source Sans Pro Regular" w:hAnsi="Source Sans Pro Regular"/>
                <w:b/>
                <w:color w:val="898D8D"/>
                <w:sz w:val="20"/>
                <w:szCs w:val="20"/>
              </w:rPr>
            </w:pPr>
            <w:r w:rsidRPr="00E36932">
              <w:rPr>
                <w:rFonts w:ascii="Source Sans Pro Regular" w:hAnsi="Source Sans Pro Regular"/>
                <w:b/>
                <w:color w:val="898D8D"/>
                <w:sz w:val="20"/>
                <w:szCs w:val="20"/>
              </w:rPr>
              <w:t>Pobreza de ingresos y de tiempo</w:t>
            </w:r>
          </w:p>
          <w:p w14:paraId="61D147BC" w14:textId="77777777" w:rsidR="00F82798" w:rsidRPr="002C0FBF" w:rsidRDefault="00F82798">
            <w:pPr>
              <w:pStyle w:val="Normal1"/>
              <w:rPr>
                <w:rFonts w:ascii="Source Sans Pro Regular" w:hAnsi="Source Sans Pro Regular"/>
                <w:color w:val="898D8D"/>
                <w:sz w:val="20"/>
                <w:szCs w:val="20"/>
              </w:rPr>
            </w:pPr>
          </w:p>
          <w:p w14:paraId="34B9DB7A"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(cuadros 4.3 y 4.4)</w:t>
            </w:r>
          </w:p>
        </w:tc>
        <w:tc>
          <w:tcPr>
            <w:tcW w:w="5481" w:type="dxa"/>
          </w:tcPr>
          <w:p w14:paraId="5925AB8A" w14:textId="1B1A5D9E" w:rsidR="00F82798" w:rsidRPr="002C0FBF" w:rsidRDefault="000A63FB" w:rsidP="004B1345">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 2018</w:t>
            </w:r>
            <w:r w:rsidR="00EC0573">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el problema de la pobreza de ingresos y de tiempo se ha agravado respecto de 2012.</w:t>
            </w:r>
          </w:p>
          <w:p w14:paraId="4C2DB9E8" w14:textId="77777777" w:rsidR="00400796" w:rsidRDefault="00797C8B" w:rsidP="00400796">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 xml:space="preserve">l 27.9% de las personas de la Ciudad </w:t>
            </w:r>
            <w:r>
              <w:rPr>
                <w:rFonts w:ascii="Source Sans Pro Regular" w:hAnsi="Source Sans Pro Regular"/>
                <w:color w:val="898D8D"/>
                <w:sz w:val="20"/>
                <w:szCs w:val="20"/>
              </w:rPr>
              <w:t xml:space="preserve">(en 2018) </w:t>
            </w:r>
            <w:r w:rsidR="000A63FB" w:rsidRPr="002C0FBF">
              <w:rPr>
                <w:rFonts w:ascii="Source Sans Pro Regular" w:hAnsi="Source Sans Pro Regular"/>
                <w:color w:val="898D8D"/>
                <w:sz w:val="20"/>
                <w:szCs w:val="20"/>
              </w:rPr>
              <w:t xml:space="preserve">están en situación de pobreza de ingreso y de tiempo. Es decir: su falta de ingreso las obliga a vivir en una precariedad material generalizada, mientras que su falta de tiempo reduce sus posibilidades de socialización, ocio y atención a las necesidades del cuidado, elevando el riesgo de padecer situaciones de estrés y otros problemas </w:t>
            </w:r>
            <w:r w:rsidR="000A63FB" w:rsidRPr="002C0FBF">
              <w:rPr>
                <w:rFonts w:ascii="Source Sans Pro Regular" w:hAnsi="Source Sans Pro Regular"/>
                <w:color w:val="898D8D"/>
                <w:sz w:val="20"/>
                <w:szCs w:val="20"/>
              </w:rPr>
              <w:lastRenderedPageBreak/>
              <w:t xml:space="preserve">derivados de ello. </w:t>
            </w:r>
          </w:p>
          <w:p w14:paraId="32E2577F" w14:textId="1141DB71" w:rsidR="00F82798" w:rsidRPr="00400796" w:rsidRDefault="000A63FB" w:rsidP="00400796">
            <w:pPr>
              <w:pStyle w:val="Normal1"/>
              <w:numPr>
                <w:ilvl w:val="0"/>
                <w:numId w:val="9"/>
              </w:numPr>
              <w:spacing w:after="60"/>
              <w:ind w:left="414" w:hanging="414"/>
              <w:rPr>
                <w:rFonts w:ascii="Source Sans Pro Regular" w:hAnsi="Source Sans Pro Regular"/>
                <w:color w:val="898D8D"/>
                <w:sz w:val="20"/>
                <w:szCs w:val="20"/>
              </w:rPr>
            </w:pPr>
            <w:r w:rsidRPr="00400796">
              <w:rPr>
                <w:rFonts w:ascii="Source Sans Pro Regular" w:hAnsi="Source Sans Pro Regular"/>
                <w:color w:val="898D8D"/>
                <w:sz w:val="20"/>
                <w:szCs w:val="20"/>
              </w:rPr>
              <w:t xml:space="preserve">El 19.8% de las personas de la Ciudad pertenecen a hogares en los que, si bien no padecen pobreza de ingreso, carecen de recursos de tiempo suficientes para cubrir sus necesidades domésticas, de cuidado y ocio, o bien trabajan extra domésticamente en exceso. </w:t>
            </w:r>
          </w:p>
        </w:tc>
        <w:tc>
          <w:tcPr>
            <w:tcW w:w="2457" w:type="dxa"/>
          </w:tcPr>
          <w:p w14:paraId="304379FB" w14:textId="77777777" w:rsidR="00F82798" w:rsidRPr="002C0FBF" w:rsidRDefault="00F82798">
            <w:pPr>
              <w:pStyle w:val="Normal1"/>
              <w:rPr>
                <w:rFonts w:ascii="Source Sans Pro Regular" w:hAnsi="Source Sans Pro Regular"/>
                <w:color w:val="898D8D"/>
                <w:sz w:val="20"/>
                <w:szCs w:val="20"/>
              </w:rPr>
            </w:pPr>
          </w:p>
        </w:tc>
      </w:tr>
      <w:tr w:rsidR="00F82798" w:rsidRPr="002C0FBF" w14:paraId="245565BD" w14:textId="77777777" w:rsidTr="00517506">
        <w:tc>
          <w:tcPr>
            <w:tcW w:w="2174" w:type="dxa"/>
          </w:tcPr>
          <w:p w14:paraId="739BB389" w14:textId="77777777" w:rsidR="00F82798" w:rsidRPr="002C0FBF" w:rsidRDefault="000A63FB">
            <w:pPr>
              <w:pStyle w:val="Normal1"/>
              <w:rPr>
                <w:rFonts w:ascii="Source Sans Pro Regular" w:hAnsi="Source Sans Pro Regular"/>
                <w:color w:val="898D8D"/>
                <w:sz w:val="20"/>
                <w:szCs w:val="20"/>
              </w:rPr>
            </w:pPr>
            <w:r w:rsidRPr="00E36932">
              <w:rPr>
                <w:rFonts w:ascii="Source Sans Pro Regular" w:hAnsi="Source Sans Pro Regular"/>
                <w:b/>
                <w:color w:val="898D8D"/>
                <w:sz w:val="20"/>
                <w:szCs w:val="20"/>
              </w:rPr>
              <w:t>Hacinamiento</w:t>
            </w:r>
          </w:p>
          <w:p w14:paraId="37437460" w14:textId="77777777" w:rsidR="00F82798" w:rsidRPr="002C0FBF" w:rsidRDefault="00F82798">
            <w:pPr>
              <w:pStyle w:val="Normal1"/>
              <w:rPr>
                <w:rFonts w:ascii="Source Sans Pro Regular" w:hAnsi="Source Sans Pro Regular"/>
                <w:color w:val="898D8D"/>
                <w:sz w:val="20"/>
                <w:szCs w:val="20"/>
              </w:rPr>
            </w:pPr>
          </w:p>
          <w:p w14:paraId="31D4460A"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(cuadro 4.6)</w:t>
            </w:r>
          </w:p>
        </w:tc>
        <w:tc>
          <w:tcPr>
            <w:tcW w:w="5481" w:type="dxa"/>
          </w:tcPr>
          <w:p w14:paraId="11645403" w14:textId="77777777" w:rsidR="00096E1F" w:rsidRDefault="000A63FB" w:rsidP="00096E1F">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El problema más grave en materia de habitabilidad que se vive en la Ciudad es el hacinamiento. Mientras que en el estrato de pobreza muy alta se tiene un promedio de 3.3 personas por dormitorio (la norma es 2 personas), en el estrato alto es de 1.2.</w:t>
            </w:r>
          </w:p>
          <w:p w14:paraId="2299567C" w14:textId="64586C56" w:rsidR="00F82798" w:rsidRPr="00096E1F" w:rsidRDefault="000A63FB" w:rsidP="006F26F8">
            <w:pPr>
              <w:pStyle w:val="Normal1"/>
              <w:numPr>
                <w:ilvl w:val="0"/>
                <w:numId w:val="9"/>
              </w:numPr>
              <w:spacing w:after="60"/>
              <w:ind w:left="414" w:hanging="414"/>
              <w:rPr>
                <w:rFonts w:ascii="Source Sans Pro Regular" w:hAnsi="Source Sans Pro Regular"/>
                <w:color w:val="898D8D"/>
                <w:sz w:val="20"/>
                <w:szCs w:val="20"/>
              </w:rPr>
            </w:pPr>
            <w:r w:rsidRPr="00096E1F">
              <w:rPr>
                <w:rFonts w:ascii="Source Sans Pro Regular" w:hAnsi="Source Sans Pro Regular"/>
                <w:color w:val="898D8D"/>
                <w:sz w:val="20"/>
                <w:szCs w:val="20"/>
              </w:rPr>
              <w:t xml:space="preserve">El 27.1% de las personas en el estrato más pobre de la Ciudad habita viviendas sin cocina, o </w:t>
            </w:r>
            <w:r w:rsidR="00503589">
              <w:rPr>
                <w:rFonts w:ascii="Source Sans Pro Regular" w:hAnsi="Source Sans Pro Regular"/>
                <w:color w:val="898D8D"/>
                <w:sz w:val="20"/>
                <w:szCs w:val="20"/>
              </w:rPr>
              <w:t xml:space="preserve">cuando ésta existe es </w:t>
            </w:r>
            <w:r w:rsidRPr="00096E1F">
              <w:rPr>
                <w:rFonts w:ascii="Source Sans Pro Regular" w:hAnsi="Source Sans Pro Regular"/>
                <w:color w:val="898D8D"/>
                <w:sz w:val="20"/>
                <w:szCs w:val="20"/>
              </w:rPr>
              <w:t>utiliza</w:t>
            </w:r>
            <w:r w:rsidR="00503589">
              <w:rPr>
                <w:rFonts w:ascii="Source Sans Pro Regular" w:hAnsi="Source Sans Pro Regular"/>
                <w:color w:val="898D8D"/>
                <w:sz w:val="20"/>
                <w:szCs w:val="20"/>
              </w:rPr>
              <w:t>da</w:t>
            </w:r>
            <w:r w:rsidRPr="00096E1F">
              <w:rPr>
                <w:rFonts w:ascii="Source Sans Pro Regular" w:hAnsi="Source Sans Pro Regular"/>
                <w:color w:val="898D8D"/>
                <w:sz w:val="20"/>
                <w:szCs w:val="20"/>
              </w:rPr>
              <w:t xml:space="preserve"> también para dormir. El 70.2% de la población </w:t>
            </w:r>
            <w:r w:rsidR="00F155F3">
              <w:rPr>
                <w:rFonts w:ascii="Source Sans Pro Regular" w:hAnsi="Source Sans Pro Regular"/>
                <w:color w:val="898D8D"/>
                <w:sz w:val="20"/>
                <w:szCs w:val="20"/>
              </w:rPr>
              <w:t xml:space="preserve">en ese estrato </w:t>
            </w:r>
            <w:r w:rsidRPr="00096E1F">
              <w:rPr>
                <w:rFonts w:ascii="Source Sans Pro Regular" w:hAnsi="Source Sans Pro Regular"/>
                <w:color w:val="898D8D"/>
                <w:sz w:val="20"/>
                <w:szCs w:val="20"/>
              </w:rPr>
              <w:t xml:space="preserve">vive en casas que no cuentan con sala-comedor, o si ésta existe, también </w:t>
            </w:r>
            <w:r w:rsidR="006F26F8">
              <w:rPr>
                <w:rFonts w:ascii="Source Sans Pro Regular" w:hAnsi="Source Sans Pro Regular"/>
                <w:color w:val="898D8D"/>
                <w:sz w:val="20"/>
                <w:szCs w:val="20"/>
              </w:rPr>
              <w:t>s</w:t>
            </w:r>
            <w:r w:rsidRPr="00096E1F">
              <w:rPr>
                <w:rFonts w:ascii="Source Sans Pro Regular" w:hAnsi="Source Sans Pro Regular"/>
                <w:color w:val="898D8D"/>
                <w:sz w:val="20"/>
                <w:szCs w:val="20"/>
              </w:rPr>
              <w:t>e u</w:t>
            </w:r>
            <w:r w:rsidR="006F26F8">
              <w:rPr>
                <w:rFonts w:ascii="Source Sans Pro Regular" w:hAnsi="Source Sans Pro Regular"/>
                <w:color w:val="898D8D"/>
                <w:sz w:val="20"/>
                <w:szCs w:val="20"/>
              </w:rPr>
              <w:t>sa</w:t>
            </w:r>
            <w:r w:rsidRPr="00096E1F">
              <w:rPr>
                <w:rFonts w:ascii="Source Sans Pro Regular" w:hAnsi="Source Sans Pro Regular"/>
                <w:color w:val="898D8D"/>
                <w:sz w:val="20"/>
                <w:szCs w:val="20"/>
              </w:rPr>
              <w:t xml:space="preserve"> para dormir.  </w:t>
            </w:r>
          </w:p>
        </w:tc>
        <w:tc>
          <w:tcPr>
            <w:tcW w:w="2457" w:type="dxa"/>
          </w:tcPr>
          <w:p w14:paraId="6F978EFD" w14:textId="77777777" w:rsidR="00F82798" w:rsidRPr="002C0FBF" w:rsidRDefault="00F82798">
            <w:pPr>
              <w:pStyle w:val="Normal1"/>
              <w:rPr>
                <w:rFonts w:ascii="Source Sans Pro Regular" w:hAnsi="Source Sans Pro Regular"/>
                <w:color w:val="898D8D"/>
                <w:sz w:val="20"/>
                <w:szCs w:val="20"/>
              </w:rPr>
            </w:pPr>
          </w:p>
        </w:tc>
      </w:tr>
      <w:tr w:rsidR="00F82798" w:rsidRPr="002C0FBF" w14:paraId="14009CCE" w14:textId="77777777" w:rsidTr="00517506">
        <w:tc>
          <w:tcPr>
            <w:tcW w:w="2174" w:type="dxa"/>
          </w:tcPr>
          <w:p w14:paraId="7B2CD7CD" w14:textId="77777777" w:rsidR="00F82798" w:rsidRPr="00E36932" w:rsidRDefault="000A63FB">
            <w:pPr>
              <w:pStyle w:val="Normal1"/>
              <w:rPr>
                <w:rFonts w:ascii="Source Sans Pro Regular" w:hAnsi="Source Sans Pro Regular"/>
                <w:b/>
                <w:color w:val="898D8D"/>
                <w:sz w:val="20"/>
                <w:szCs w:val="20"/>
              </w:rPr>
            </w:pPr>
            <w:r w:rsidRPr="00E36932">
              <w:rPr>
                <w:rFonts w:ascii="Source Sans Pro Regular" w:hAnsi="Source Sans Pro Regular"/>
                <w:b/>
                <w:color w:val="898D8D"/>
                <w:sz w:val="20"/>
                <w:szCs w:val="20"/>
              </w:rPr>
              <w:t>Servicios sanitarios</w:t>
            </w:r>
          </w:p>
          <w:p w14:paraId="025FD301" w14:textId="77777777" w:rsidR="00F82798" w:rsidRPr="002C0FBF" w:rsidRDefault="00F82798">
            <w:pPr>
              <w:pStyle w:val="Normal1"/>
              <w:rPr>
                <w:rFonts w:ascii="Source Sans Pro Regular" w:hAnsi="Source Sans Pro Regular"/>
                <w:color w:val="898D8D"/>
                <w:sz w:val="20"/>
                <w:szCs w:val="20"/>
              </w:rPr>
            </w:pPr>
          </w:p>
          <w:p w14:paraId="312E86D6"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(Cuadro 4.5, 4.7, 4.8, 4.9)</w:t>
            </w:r>
          </w:p>
        </w:tc>
        <w:tc>
          <w:tcPr>
            <w:tcW w:w="5481" w:type="dxa"/>
          </w:tcPr>
          <w:p w14:paraId="60F77F6F" w14:textId="0B3ADB27" w:rsidR="00F82798" w:rsidRPr="002C0FBF" w:rsidRDefault="000A63FB" w:rsidP="00881806">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 2018, el 49.2% de la población habita viviendas precarias</w:t>
            </w:r>
            <w:r w:rsidR="008A0B47">
              <w:rPr>
                <w:rFonts w:ascii="Source Sans Pro Regular" w:hAnsi="Source Sans Pro Regular"/>
                <w:color w:val="898D8D"/>
                <w:sz w:val="20"/>
                <w:szCs w:val="20"/>
              </w:rPr>
              <w:t>, pues éstas no satisfacen las normas de calidad y espacio</w:t>
            </w:r>
            <w:r w:rsidRPr="002C0FBF">
              <w:rPr>
                <w:rFonts w:ascii="Source Sans Pro Regular" w:hAnsi="Source Sans Pro Regular"/>
                <w:color w:val="898D8D"/>
                <w:sz w:val="20"/>
                <w:szCs w:val="20"/>
              </w:rPr>
              <w:t xml:space="preserve">. </w:t>
            </w:r>
          </w:p>
          <w:p w14:paraId="713E4051" w14:textId="7B05D851" w:rsidR="00F82798" w:rsidRPr="002C0FBF" w:rsidRDefault="000A63FB" w:rsidP="00881806">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El 40.5% vive en casas con carencia de servicios sanitarios (disponibilidad de agua, drenaje y excusado). Este indicador ha empeorado entre 2012 y 2018</w:t>
            </w:r>
            <w:r w:rsidR="00F155F3">
              <w:rPr>
                <w:rFonts w:ascii="Source Sans Pro Regular" w:hAnsi="Source Sans Pro Regular"/>
                <w:color w:val="898D8D"/>
                <w:sz w:val="20"/>
                <w:szCs w:val="20"/>
              </w:rPr>
              <w:t>, particularmente por la reducción en el abasto diario de agua en los hogares en la Ciudad</w:t>
            </w:r>
            <w:r w:rsidRPr="002C0FBF">
              <w:rPr>
                <w:rFonts w:ascii="Source Sans Pro Regular" w:hAnsi="Source Sans Pro Regular"/>
                <w:color w:val="898D8D"/>
                <w:sz w:val="20"/>
                <w:szCs w:val="20"/>
              </w:rPr>
              <w:t>.</w:t>
            </w:r>
          </w:p>
          <w:p w14:paraId="22DCD64D" w14:textId="77777777" w:rsidR="008A0B47" w:rsidRDefault="000A63FB" w:rsidP="00881806">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El 88.8% de la población vive en casas donde el agua entubada llega al interior de la vivienda. Sin embargo, entre las personas en pobreza muy alta este porcentaje se reduce al 60%, en la pobreza alta es del 76.6%</w:t>
            </w:r>
            <w:r w:rsidR="008A0B47">
              <w:rPr>
                <w:rFonts w:ascii="Source Sans Pro Regular" w:hAnsi="Source Sans Pro Regular"/>
                <w:color w:val="898D8D"/>
                <w:sz w:val="20"/>
                <w:szCs w:val="20"/>
              </w:rPr>
              <w:t>, y en la moderada del 85.3%.</w:t>
            </w:r>
          </w:p>
          <w:p w14:paraId="2DA216F1" w14:textId="77777777" w:rsidR="00AB043C" w:rsidRDefault="008A0B47" w:rsidP="00AB043C">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8.4% de las personas en pobreza muy alta deben recurrir a pipas u otras formas de acarreo de agua para su abastecimiento. E</w:t>
            </w:r>
            <w:r>
              <w:rPr>
                <w:rFonts w:ascii="Source Sans Pro Regular" w:hAnsi="Source Sans Pro Regular"/>
                <w:color w:val="898D8D"/>
                <w:sz w:val="20"/>
                <w:szCs w:val="20"/>
              </w:rPr>
              <w:t xml:space="preserve">n esta situación se encuentra el </w:t>
            </w:r>
            <w:r w:rsidR="000A63FB" w:rsidRPr="002C0FBF">
              <w:rPr>
                <w:rFonts w:ascii="Source Sans Pro Regular" w:hAnsi="Source Sans Pro Regular"/>
                <w:color w:val="898D8D"/>
                <w:sz w:val="20"/>
                <w:szCs w:val="20"/>
              </w:rPr>
              <w:t xml:space="preserve">4.3% de la población en pobreza alta y el 2.8% de quienes están en pobreza moderada. </w:t>
            </w:r>
          </w:p>
          <w:p w14:paraId="4A464B07" w14:textId="77777777" w:rsidR="00AB043C" w:rsidRDefault="000A63FB" w:rsidP="00AB043C">
            <w:pPr>
              <w:pStyle w:val="Normal1"/>
              <w:numPr>
                <w:ilvl w:val="0"/>
                <w:numId w:val="9"/>
              </w:numPr>
              <w:spacing w:after="60"/>
              <w:ind w:left="414" w:hanging="414"/>
              <w:rPr>
                <w:rFonts w:ascii="Source Sans Pro Regular" w:hAnsi="Source Sans Pro Regular"/>
                <w:color w:val="898D8D"/>
                <w:sz w:val="20"/>
                <w:szCs w:val="20"/>
              </w:rPr>
            </w:pPr>
            <w:r w:rsidRPr="00AB043C">
              <w:rPr>
                <w:rFonts w:ascii="Source Sans Pro Regular" w:hAnsi="Source Sans Pro Regular"/>
                <w:color w:val="898D8D"/>
                <w:sz w:val="20"/>
                <w:szCs w:val="20"/>
              </w:rPr>
              <w:t xml:space="preserve">Entre las personas en pobreza muy alta, sólo el 61.5% viven en casas </w:t>
            </w:r>
            <w:r w:rsidR="00AB043C">
              <w:rPr>
                <w:rFonts w:ascii="Source Sans Pro Regular" w:hAnsi="Source Sans Pro Regular"/>
                <w:color w:val="898D8D"/>
                <w:sz w:val="20"/>
                <w:szCs w:val="20"/>
              </w:rPr>
              <w:t>c</w:t>
            </w:r>
            <w:r w:rsidRPr="00AB043C">
              <w:rPr>
                <w:rFonts w:ascii="Source Sans Pro Regular" w:hAnsi="Source Sans Pro Regular"/>
                <w:color w:val="898D8D"/>
                <w:sz w:val="20"/>
                <w:szCs w:val="20"/>
              </w:rPr>
              <w:t xml:space="preserve">on dotación de agua diaria. En esta misma situación está el 66.6% de la población en pobreza alta y el 69.8% de los pobres moderados. </w:t>
            </w:r>
          </w:p>
          <w:p w14:paraId="46E0D4EF" w14:textId="77777777" w:rsidR="00E3616E" w:rsidRDefault="000A63FB" w:rsidP="00E3616E">
            <w:pPr>
              <w:pStyle w:val="Normal1"/>
              <w:numPr>
                <w:ilvl w:val="0"/>
                <w:numId w:val="9"/>
              </w:numPr>
              <w:spacing w:after="60"/>
              <w:ind w:left="414" w:hanging="414"/>
              <w:rPr>
                <w:rFonts w:ascii="Source Sans Pro Regular" w:hAnsi="Source Sans Pro Regular"/>
                <w:color w:val="898D8D"/>
                <w:sz w:val="20"/>
                <w:szCs w:val="20"/>
              </w:rPr>
            </w:pPr>
            <w:r w:rsidRPr="00AB043C">
              <w:rPr>
                <w:rFonts w:ascii="Source Sans Pro Regular" w:hAnsi="Source Sans Pro Regular"/>
                <w:color w:val="898D8D"/>
                <w:sz w:val="20"/>
                <w:szCs w:val="20"/>
              </w:rPr>
              <w:t>El 20.5% de las personas en pobreza muy alta viven en casas donde el sanitario es compartido con otros hogares.</w:t>
            </w:r>
            <w:r w:rsidR="00C33444">
              <w:rPr>
                <w:rFonts w:ascii="Source Sans Pro Regular" w:hAnsi="Source Sans Pro Regular"/>
                <w:color w:val="898D8D"/>
                <w:sz w:val="20"/>
                <w:szCs w:val="20"/>
              </w:rPr>
              <w:t xml:space="preserve"> Este problema afecta a</w:t>
            </w:r>
            <w:r w:rsidRPr="00AB043C">
              <w:rPr>
                <w:rFonts w:ascii="Source Sans Pro Regular" w:hAnsi="Source Sans Pro Regular"/>
                <w:color w:val="898D8D"/>
                <w:sz w:val="20"/>
                <w:szCs w:val="20"/>
              </w:rPr>
              <w:t xml:space="preserve">l 19.9% de las personas en pobreza alta y </w:t>
            </w:r>
            <w:r w:rsidR="00C33444">
              <w:rPr>
                <w:rFonts w:ascii="Source Sans Pro Regular" w:hAnsi="Source Sans Pro Regular"/>
                <w:color w:val="898D8D"/>
                <w:sz w:val="20"/>
                <w:szCs w:val="20"/>
              </w:rPr>
              <w:t>a</w:t>
            </w:r>
            <w:r w:rsidRPr="00AB043C">
              <w:rPr>
                <w:rFonts w:ascii="Source Sans Pro Regular" w:hAnsi="Source Sans Pro Regular"/>
                <w:color w:val="898D8D"/>
                <w:sz w:val="20"/>
                <w:szCs w:val="20"/>
              </w:rPr>
              <w:t>l 10.9% de los pobres moderados.</w:t>
            </w:r>
          </w:p>
          <w:p w14:paraId="312FFA61" w14:textId="1CE7DACE" w:rsidR="00F82798" w:rsidRPr="00E3616E" w:rsidRDefault="000A63FB" w:rsidP="0032440B">
            <w:pPr>
              <w:pStyle w:val="Normal1"/>
              <w:numPr>
                <w:ilvl w:val="0"/>
                <w:numId w:val="9"/>
              </w:numPr>
              <w:spacing w:after="60"/>
              <w:ind w:left="414" w:hanging="414"/>
              <w:rPr>
                <w:rFonts w:ascii="Source Sans Pro Regular" w:hAnsi="Source Sans Pro Regular"/>
                <w:color w:val="898D8D"/>
                <w:sz w:val="20"/>
                <w:szCs w:val="20"/>
              </w:rPr>
            </w:pPr>
            <w:r w:rsidRPr="00E3616E">
              <w:rPr>
                <w:rFonts w:ascii="Source Sans Pro Regular" w:hAnsi="Source Sans Pro Regular"/>
                <w:color w:val="898D8D"/>
                <w:sz w:val="20"/>
                <w:szCs w:val="20"/>
              </w:rPr>
              <w:t>El 58.7% de las personas en pobreza muy alta residen en casas donde es necesario echar agua al excusado con una cubeta.</w:t>
            </w:r>
            <w:r w:rsidR="0032440B">
              <w:rPr>
                <w:rFonts w:ascii="Source Sans Pro Regular" w:hAnsi="Source Sans Pro Regular"/>
                <w:color w:val="898D8D"/>
                <w:sz w:val="20"/>
                <w:szCs w:val="20"/>
              </w:rPr>
              <w:t xml:space="preserve"> Este problema se presenta en el </w:t>
            </w:r>
            <w:r w:rsidRPr="00E3616E">
              <w:rPr>
                <w:rFonts w:ascii="Source Sans Pro Regular" w:hAnsi="Source Sans Pro Regular"/>
                <w:color w:val="898D8D"/>
                <w:sz w:val="20"/>
                <w:szCs w:val="20"/>
              </w:rPr>
              <w:t xml:space="preserve">40.9% de quienes están en pobreza alta y </w:t>
            </w:r>
            <w:r w:rsidR="0032440B">
              <w:rPr>
                <w:rFonts w:ascii="Source Sans Pro Regular" w:hAnsi="Source Sans Pro Regular"/>
                <w:color w:val="898D8D"/>
                <w:sz w:val="20"/>
                <w:szCs w:val="20"/>
              </w:rPr>
              <w:t xml:space="preserve">en </w:t>
            </w:r>
            <w:r w:rsidRPr="00E3616E">
              <w:rPr>
                <w:rFonts w:ascii="Source Sans Pro Regular" w:hAnsi="Source Sans Pro Regular"/>
                <w:color w:val="898D8D"/>
                <w:sz w:val="20"/>
                <w:szCs w:val="20"/>
              </w:rPr>
              <w:t xml:space="preserve">el 22% de los pobres moderados. </w:t>
            </w:r>
          </w:p>
        </w:tc>
        <w:tc>
          <w:tcPr>
            <w:tcW w:w="2457" w:type="dxa"/>
          </w:tcPr>
          <w:p w14:paraId="18A52EC9" w14:textId="77777777" w:rsidR="00F82798" w:rsidRPr="002C0FBF" w:rsidRDefault="00F82798">
            <w:pPr>
              <w:pStyle w:val="Normal1"/>
              <w:rPr>
                <w:rFonts w:ascii="Source Sans Pro Regular" w:hAnsi="Source Sans Pro Regular"/>
                <w:color w:val="898D8D"/>
                <w:sz w:val="20"/>
                <w:szCs w:val="20"/>
              </w:rPr>
            </w:pPr>
          </w:p>
        </w:tc>
      </w:tr>
      <w:tr w:rsidR="00F82798" w:rsidRPr="002C0FBF" w14:paraId="66006065" w14:textId="77777777" w:rsidTr="00517506">
        <w:tc>
          <w:tcPr>
            <w:tcW w:w="2174" w:type="dxa"/>
          </w:tcPr>
          <w:p w14:paraId="768C3EC2" w14:textId="0D15FAED" w:rsidR="00F82798" w:rsidRPr="00E36932" w:rsidRDefault="000A63FB">
            <w:pPr>
              <w:pStyle w:val="Normal1"/>
              <w:rPr>
                <w:rFonts w:ascii="Source Sans Pro Regular" w:hAnsi="Source Sans Pro Regular"/>
                <w:b/>
                <w:color w:val="898D8D"/>
                <w:sz w:val="20"/>
                <w:szCs w:val="20"/>
              </w:rPr>
            </w:pPr>
            <w:r w:rsidRPr="00E36932">
              <w:rPr>
                <w:rFonts w:ascii="Source Sans Pro Regular" w:hAnsi="Source Sans Pro Regular"/>
                <w:b/>
                <w:color w:val="898D8D"/>
                <w:sz w:val="20"/>
                <w:szCs w:val="20"/>
              </w:rPr>
              <w:lastRenderedPageBreak/>
              <w:t>Seguridad social</w:t>
            </w:r>
          </w:p>
          <w:p w14:paraId="7D5093F4" w14:textId="77777777" w:rsidR="00F82798" w:rsidRPr="002C0FBF" w:rsidRDefault="00F82798">
            <w:pPr>
              <w:pStyle w:val="Normal1"/>
              <w:rPr>
                <w:rFonts w:ascii="Source Sans Pro Regular" w:hAnsi="Source Sans Pro Regular"/>
                <w:color w:val="898D8D"/>
                <w:sz w:val="20"/>
                <w:szCs w:val="20"/>
              </w:rPr>
            </w:pPr>
          </w:p>
          <w:p w14:paraId="17490508"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(4.11)</w:t>
            </w:r>
          </w:p>
        </w:tc>
        <w:tc>
          <w:tcPr>
            <w:tcW w:w="5481" w:type="dxa"/>
          </w:tcPr>
          <w:p w14:paraId="6752D474" w14:textId="4A351695" w:rsidR="00F82798" w:rsidRPr="002C0FBF" w:rsidRDefault="000A63FB" w:rsidP="00AE7657">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El 81% de las personas en pobreza extrema no tiene seguridad social, un derecho con el que no cuenta el 51% de la población en pobreza moderada</w:t>
            </w:r>
            <w:r w:rsidR="00AE7657">
              <w:rPr>
                <w:rFonts w:ascii="Source Sans Pro Regular" w:hAnsi="Source Sans Pro Regular"/>
                <w:color w:val="898D8D"/>
                <w:sz w:val="20"/>
                <w:szCs w:val="20"/>
              </w:rPr>
              <w:t xml:space="preserve"> (2018)</w:t>
            </w:r>
            <w:r w:rsidRPr="002C0FBF">
              <w:rPr>
                <w:rFonts w:ascii="Source Sans Pro Regular" w:hAnsi="Source Sans Pro Regular"/>
                <w:color w:val="898D8D"/>
                <w:sz w:val="20"/>
                <w:szCs w:val="20"/>
              </w:rPr>
              <w:t xml:space="preserve">. </w:t>
            </w:r>
          </w:p>
        </w:tc>
        <w:tc>
          <w:tcPr>
            <w:tcW w:w="2457" w:type="dxa"/>
          </w:tcPr>
          <w:p w14:paraId="6FAD4A18" w14:textId="77777777" w:rsidR="00F82798" w:rsidRPr="002C0FBF" w:rsidRDefault="00F82798">
            <w:pPr>
              <w:pStyle w:val="Normal1"/>
              <w:rPr>
                <w:rFonts w:ascii="Source Sans Pro Regular" w:hAnsi="Source Sans Pro Regular"/>
                <w:color w:val="898D8D"/>
                <w:sz w:val="20"/>
                <w:szCs w:val="20"/>
              </w:rPr>
            </w:pPr>
          </w:p>
        </w:tc>
      </w:tr>
      <w:tr w:rsidR="00F82798" w:rsidRPr="002C0FBF" w14:paraId="66B33EDC" w14:textId="77777777" w:rsidTr="00517506">
        <w:tc>
          <w:tcPr>
            <w:tcW w:w="2174" w:type="dxa"/>
          </w:tcPr>
          <w:p w14:paraId="377EEF43" w14:textId="77777777" w:rsidR="00F82798" w:rsidRPr="00E36932" w:rsidRDefault="000A63FB">
            <w:pPr>
              <w:pStyle w:val="Normal1"/>
              <w:rPr>
                <w:rFonts w:ascii="Source Sans Pro Regular" w:hAnsi="Source Sans Pro Regular"/>
                <w:b/>
                <w:color w:val="898D8D"/>
                <w:sz w:val="20"/>
                <w:szCs w:val="20"/>
              </w:rPr>
            </w:pPr>
            <w:r w:rsidRPr="00E36932">
              <w:rPr>
                <w:rFonts w:ascii="Source Sans Pro Regular" w:hAnsi="Source Sans Pro Regular"/>
                <w:b/>
                <w:color w:val="898D8D"/>
                <w:sz w:val="20"/>
                <w:szCs w:val="20"/>
              </w:rPr>
              <w:t>Pobreza en grupos de población particulares</w:t>
            </w:r>
          </w:p>
          <w:p w14:paraId="1BADBEC0" w14:textId="77777777" w:rsidR="00F82798" w:rsidRPr="002C0FBF" w:rsidRDefault="00F82798">
            <w:pPr>
              <w:pStyle w:val="Normal1"/>
              <w:rPr>
                <w:rFonts w:ascii="Source Sans Pro Regular" w:hAnsi="Source Sans Pro Regular"/>
                <w:color w:val="898D8D"/>
                <w:sz w:val="20"/>
                <w:szCs w:val="20"/>
              </w:rPr>
            </w:pPr>
          </w:p>
          <w:p w14:paraId="737B8451"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(cuadro 4.15, gráficas 4.4, 4.5, 4.6, 4.7 y figuras 4.3)</w:t>
            </w:r>
          </w:p>
        </w:tc>
        <w:tc>
          <w:tcPr>
            <w:tcW w:w="5481" w:type="dxa"/>
          </w:tcPr>
          <w:p w14:paraId="5AEC3B6D" w14:textId="77777777" w:rsidR="00ED4523" w:rsidRDefault="000A63FB" w:rsidP="00AE7657">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 2018, el 80.2% de la población indígena de la Ciudad está en pobreza: el 52.5% en pobreza extrema y el 28.1% en pobreza moderada.</w:t>
            </w:r>
          </w:p>
          <w:p w14:paraId="52492365" w14:textId="390E5193" w:rsidR="00ED4523" w:rsidRDefault="000A63FB" w:rsidP="00AE7657">
            <w:pPr>
              <w:pStyle w:val="Normal1"/>
              <w:numPr>
                <w:ilvl w:val="0"/>
                <w:numId w:val="9"/>
              </w:numPr>
              <w:spacing w:after="60"/>
              <w:ind w:left="414" w:hanging="414"/>
              <w:rPr>
                <w:rFonts w:ascii="Source Sans Pro Regular" w:hAnsi="Source Sans Pro Regular"/>
                <w:color w:val="898D8D"/>
                <w:sz w:val="20"/>
                <w:szCs w:val="20"/>
              </w:rPr>
            </w:pPr>
            <w:r w:rsidRPr="00ED4523">
              <w:rPr>
                <w:rFonts w:ascii="Source Sans Pro Regular" w:hAnsi="Source Sans Pro Regular"/>
                <w:color w:val="898D8D"/>
                <w:sz w:val="20"/>
                <w:szCs w:val="20"/>
              </w:rPr>
              <w:t xml:space="preserve">El 60.5% de las personas con discapacidad mental, y el 49.5% de quienes presentan otro tipo de discapacidad, están en situación de pobreza. </w:t>
            </w:r>
          </w:p>
          <w:p w14:paraId="5C79375C" w14:textId="77777777" w:rsidR="00ED4523" w:rsidRDefault="000A63FB" w:rsidP="00AE7657">
            <w:pPr>
              <w:pStyle w:val="Normal1"/>
              <w:numPr>
                <w:ilvl w:val="0"/>
                <w:numId w:val="9"/>
              </w:numPr>
              <w:spacing w:after="60"/>
              <w:ind w:left="414" w:hanging="414"/>
              <w:rPr>
                <w:rFonts w:ascii="Source Sans Pro Regular" w:hAnsi="Source Sans Pro Regular"/>
                <w:color w:val="898D8D"/>
                <w:sz w:val="20"/>
                <w:szCs w:val="20"/>
              </w:rPr>
            </w:pPr>
            <w:r w:rsidRPr="00ED4523">
              <w:rPr>
                <w:rFonts w:ascii="Source Sans Pro Regular" w:hAnsi="Source Sans Pro Regular"/>
                <w:color w:val="898D8D"/>
                <w:sz w:val="20"/>
                <w:szCs w:val="20"/>
              </w:rPr>
              <w:t xml:space="preserve">La pobreza extrema se presenta en el 26.2% de las personas con discapacidad mental, y en el 14.9% de la población con otro tipo de discapacidad. </w:t>
            </w:r>
          </w:p>
          <w:p w14:paraId="719075E8" w14:textId="48FFE880" w:rsidR="00ED4523" w:rsidRDefault="000A63FB" w:rsidP="00AE7657">
            <w:pPr>
              <w:pStyle w:val="Normal1"/>
              <w:numPr>
                <w:ilvl w:val="0"/>
                <w:numId w:val="9"/>
              </w:numPr>
              <w:spacing w:after="60"/>
              <w:ind w:left="414" w:hanging="414"/>
              <w:rPr>
                <w:rFonts w:ascii="Source Sans Pro Regular" w:hAnsi="Source Sans Pro Regular"/>
                <w:color w:val="898D8D"/>
                <w:sz w:val="20"/>
                <w:szCs w:val="20"/>
              </w:rPr>
            </w:pPr>
            <w:r w:rsidRPr="00ED4523">
              <w:rPr>
                <w:rFonts w:ascii="Source Sans Pro Regular" w:hAnsi="Source Sans Pro Regular"/>
                <w:color w:val="898D8D"/>
                <w:sz w:val="20"/>
                <w:szCs w:val="20"/>
              </w:rPr>
              <w:t>La pobreza muestra una relación inversa con la edad, siendo durante la infancia cuando más se padece. En 2018, por cada 10 niños, niñas y adolescentes, aproximadamente 7 se en</w:t>
            </w:r>
            <w:r w:rsidR="00D4691C">
              <w:rPr>
                <w:rFonts w:ascii="Source Sans Pro Regular" w:hAnsi="Source Sans Pro Regular"/>
                <w:color w:val="898D8D"/>
                <w:sz w:val="20"/>
                <w:szCs w:val="20"/>
              </w:rPr>
              <w:t xml:space="preserve">cuentran </w:t>
            </w:r>
            <w:r w:rsidRPr="00ED4523">
              <w:rPr>
                <w:rFonts w:ascii="Source Sans Pro Regular" w:hAnsi="Source Sans Pro Regular"/>
                <w:color w:val="898D8D"/>
                <w:sz w:val="20"/>
                <w:szCs w:val="20"/>
              </w:rPr>
              <w:t>en pobreza, de los cuales la mitad est</w:t>
            </w:r>
            <w:r w:rsidR="00D4691C">
              <w:rPr>
                <w:rFonts w:ascii="Source Sans Pro Regular" w:hAnsi="Source Sans Pro Regular"/>
                <w:color w:val="898D8D"/>
                <w:sz w:val="20"/>
                <w:szCs w:val="20"/>
              </w:rPr>
              <w:t>á</w:t>
            </w:r>
            <w:r w:rsidRPr="00ED4523">
              <w:rPr>
                <w:rFonts w:ascii="Source Sans Pro Regular" w:hAnsi="Source Sans Pro Regular"/>
                <w:color w:val="898D8D"/>
                <w:sz w:val="20"/>
                <w:szCs w:val="20"/>
              </w:rPr>
              <w:t xml:space="preserve"> en pobreza moderada y la otra mitad en pobreza extrema. </w:t>
            </w:r>
          </w:p>
          <w:p w14:paraId="1F6A9EC8" w14:textId="15E33B7C" w:rsidR="00ED4523" w:rsidRDefault="000A63FB" w:rsidP="00AE7657">
            <w:pPr>
              <w:pStyle w:val="Normal1"/>
              <w:numPr>
                <w:ilvl w:val="0"/>
                <w:numId w:val="9"/>
              </w:numPr>
              <w:spacing w:after="60"/>
              <w:ind w:left="414" w:hanging="414"/>
              <w:rPr>
                <w:rFonts w:ascii="Source Sans Pro Regular" w:hAnsi="Source Sans Pro Regular"/>
                <w:color w:val="898D8D"/>
                <w:sz w:val="20"/>
                <w:szCs w:val="20"/>
              </w:rPr>
            </w:pPr>
            <w:r w:rsidRPr="00ED4523">
              <w:rPr>
                <w:rFonts w:ascii="Source Sans Pro Regular" w:hAnsi="Source Sans Pro Regular"/>
                <w:color w:val="898D8D"/>
                <w:sz w:val="20"/>
                <w:szCs w:val="20"/>
              </w:rPr>
              <w:t>El grupo de edad que presenta menor incidencia de la pobreza es el de adultos mayores (60 años y más). En 2018, el 32.2% viv</w:t>
            </w:r>
            <w:r w:rsidR="00DA0182">
              <w:rPr>
                <w:rFonts w:ascii="Source Sans Pro Regular" w:hAnsi="Source Sans Pro Regular"/>
                <w:color w:val="898D8D"/>
                <w:sz w:val="20"/>
                <w:szCs w:val="20"/>
              </w:rPr>
              <w:t>e</w:t>
            </w:r>
            <w:r w:rsidRPr="00ED4523">
              <w:rPr>
                <w:rFonts w:ascii="Source Sans Pro Regular" w:hAnsi="Source Sans Pro Regular"/>
                <w:color w:val="898D8D"/>
                <w:sz w:val="20"/>
                <w:szCs w:val="20"/>
              </w:rPr>
              <w:t xml:space="preserve"> en pobreza, el 23.3% en pobreza moderada y el 8.9% en pobreza extrema.</w:t>
            </w:r>
          </w:p>
          <w:p w14:paraId="0724B914" w14:textId="77777777" w:rsidR="00B17F19" w:rsidRDefault="000A63FB" w:rsidP="00AE7657">
            <w:pPr>
              <w:pStyle w:val="Normal1"/>
              <w:numPr>
                <w:ilvl w:val="0"/>
                <w:numId w:val="9"/>
              </w:numPr>
              <w:spacing w:after="60"/>
              <w:ind w:left="414" w:hanging="414"/>
              <w:rPr>
                <w:rFonts w:ascii="Source Sans Pro Regular" w:hAnsi="Source Sans Pro Regular"/>
                <w:color w:val="898D8D"/>
                <w:sz w:val="20"/>
                <w:szCs w:val="20"/>
              </w:rPr>
            </w:pPr>
            <w:r w:rsidRPr="00ED4523">
              <w:rPr>
                <w:rFonts w:ascii="Source Sans Pro Regular" w:hAnsi="Source Sans Pro Regular"/>
                <w:color w:val="898D8D"/>
                <w:sz w:val="20"/>
                <w:szCs w:val="20"/>
              </w:rPr>
              <w:t>Los resultados del MMIP muestran que la incidencia de la pobreza es ligeramente superior en los hombres (53.3%) que entre las mujeres (51.8%).</w:t>
            </w:r>
          </w:p>
          <w:p w14:paraId="7FA46986" w14:textId="77777777" w:rsidR="00B17F19" w:rsidRDefault="000A63FB" w:rsidP="00AE7657">
            <w:pPr>
              <w:pStyle w:val="Normal1"/>
              <w:numPr>
                <w:ilvl w:val="0"/>
                <w:numId w:val="9"/>
              </w:numPr>
              <w:spacing w:after="60"/>
              <w:ind w:left="414" w:hanging="414"/>
              <w:rPr>
                <w:rFonts w:ascii="Source Sans Pro Regular" w:hAnsi="Source Sans Pro Regular"/>
                <w:color w:val="898D8D"/>
                <w:sz w:val="20"/>
                <w:szCs w:val="20"/>
              </w:rPr>
            </w:pPr>
            <w:r w:rsidRPr="00B17F19">
              <w:rPr>
                <w:rFonts w:ascii="Source Sans Pro Regular" w:hAnsi="Source Sans Pro Regular"/>
                <w:color w:val="898D8D"/>
                <w:sz w:val="20"/>
                <w:szCs w:val="20"/>
              </w:rPr>
              <w:t xml:space="preserve">En la población infantil (0-17 años) en pobreza extrema, la probabilidad de padecer este problema es algo superior entre las niñas que entre los niños (33.6 y 31.7%, respectivamente). </w:t>
            </w:r>
          </w:p>
          <w:p w14:paraId="7BBD9767" w14:textId="368D7842" w:rsidR="00B17F19" w:rsidRDefault="000A63FB" w:rsidP="00AE7657">
            <w:pPr>
              <w:pStyle w:val="Normal1"/>
              <w:numPr>
                <w:ilvl w:val="0"/>
                <w:numId w:val="9"/>
              </w:numPr>
              <w:spacing w:after="60"/>
              <w:ind w:left="414" w:hanging="414"/>
              <w:rPr>
                <w:rFonts w:ascii="Source Sans Pro Regular" w:hAnsi="Source Sans Pro Regular"/>
                <w:color w:val="898D8D"/>
                <w:sz w:val="20"/>
                <w:szCs w:val="20"/>
              </w:rPr>
            </w:pPr>
            <w:r w:rsidRPr="00B17F19">
              <w:rPr>
                <w:rFonts w:ascii="Source Sans Pro Regular" w:hAnsi="Source Sans Pro Regular"/>
                <w:color w:val="898D8D"/>
                <w:sz w:val="20"/>
                <w:szCs w:val="20"/>
              </w:rPr>
              <w:t xml:space="preserve">En la población adulta mayor se observan </w:t>
            </w:r>
            <w:r w:rsidR="00DA0182">
              <w:rPr>
                <w:rFonts w:ascii="Source Sans Pro Regular" w:hAnsi="Source Sans Pro Regular"/>
                <w:color w:val="898D8D"/>
                <w:sz w:val="20"/>
                <w:szCs w:val="20"/>
              </w:rPr>
              <w:t xml:space="preserve">también </w:t>
            </w:r>
            <w:r w:rsidRPr="00B17F19">
              <w:rPr>
                <w:rFonts w:ascii="Source Sans Pro Regular" w:hAnsi="Source Sans Pro Regular"/>
                <w:color w:val="898D8D"/>
                <w:sz w:val="20"/>
                <w:szCs w:val="20"/>
              </w:rPr>
              <w:t>diferencias</w:t>
            </w:r>
            <w:r w:rsidR="00DA0182">
              <w:rPr>
                <w:rFonts w:ascii="Source Sans Pro Regular" w:hAnsi="Source Sans Pro Regular"/>
                <w:color w:val="898D8D"/>
                <w:sz w:val="20"/>
                <w:szCs w:val="20"/>
              </w:rPr>
              <w:t>,</w:t>
            </w:r>
            <w:r w:rsidRPr="00B17F19">
              <w:rPr>
                <w:rFonts w:ascii="Source Sans Pro Regular" w:hAnsi="Source Sans Pro Regular"/>
                <w:color w:val="898D8D"/>
                <w:sz w:val="20"/>
                <w:szCs w:val="20"/>
              </w:rPr>
              <w:t xml:space="preserve"> pero en el otro sentido: el 10.3% de los hombres con 60 años y más están en pobreza extrema, frente al 7.9% de las mujeres. </w:t>
            </w:r>
          </w:p>
          <w:p w14:paraId="478D740E" w14:textId="59DC60D1" w:rsidR="00B17F19" w:rsidRDefault="000A63FB" w:rsidP="00AE7657">
            <w:pPr>
              <w:pStyle w:val="Normal1"/>
              <w:numPr>
                <w:ilvl w:val="0"/>
                <w:numId w:val="9"/>
              </w:numPr>
              <w:spacing w:after="60"/>
              <w:ind w:left="414" w:hanging="414"/>
              <w:rPr>
                <w:rFonts w:ascii="Source Sans Pro Regular" w:hAnsi="Source Sans Pro Regular"/>
                <w:color w:val="898D8D"/>
                <w:sz w:val="20"/>
                <w:szCs w:val="20"/>
              </w:rPr>
            </w:pPr>
            <w:r w:rsidRPr="00B17F19">
              <w:rPr>
                <w:rFonts w:ascii="Source Sans Pro Regular" w:hAnsi="Source Sans Pro Regular"/>
                <w:color w:val="898D8D"/>
                <w:sz w:val="20"/>
                <w:szCs w:val="20"/>
              </w:rPr>
              <w:t>La tasa de desocupación (porcentaje de la PEA desocupada) es 4.5% para el conjunto de la</w:t>
            </w:r>
            <w:r w:rsidR="00F93A2B">
              <w:rPr>
                <w:rFonts w:ascii="Source Sans Pro Regular" w:hAnsi="Source Sans Pro Regular"/>
                <w:color w:val="898D8D"/>
                <w:sz w:val="20"/>
                <w:szCs w:val="20"/>
              </w:rPr>
              <w:t xml:space="preserve"> población de la</w:t>
            </w:r>
            <w:r w:rsidRPr="00B17F19">
              <w:rPr>
                <w:rFonts w:ascii="Source Sans Pro Regular" w:hAnsi="Source Sans Pro Regular"/>
                <w:color w:val="898D8D"/>
                <w:sz w:val="20"/>
                <w:szCs w:val="20"/>
              </w:rPr>
              <w:t xml:space="preserve"> Ciudad, pero aumenta a 7.2% entre la población en pobreza extrema. La tasa de desocupación de la población en pobreza extrema es más elevada entre los hombres (8.2%) que entre las mujeres (5.7%).</w:t>
            </w:r>
          </w:p>
          <w:p w14:paraId="45FB8D62" w14:textId="18AA1A86" w:rsidR="00F82798" w:rsidRPr="00B17F19" w:rsidRDefault="000A63FB" w:rsidP="00AE7657">
            <w:pPr>
              <w:pStyle w:val="Normal1"/>
              <w:numPr>
                <w:ilvl w:val="0"/>
                <w:numId w:val="9"/>
              </w:numPr>
              <w:spacing w:after="60"/>
              <w:ind w:left="414" w:hanging="414"/>
              <w:rPr>
                <w:rFonts w:ascii="Source Sans Pro Regular" w:hAnsi="Source Sans Pro Regular"/>
                <w:color w:val="898D8D"/>
                <w:sz w:val="20"/>
                <w:szCs w:val="20"/>
              </w:rPr>
            </w:pPr>
            <w:r w:rsidRPr="00B17F19">
              <w:rPr>
                <w:rFonts w:ascii="Source Sans Pro Regular" w:hAnsi="Source Sans Pro Regular"/>
                <w:color w:val="898D8D"/>
                <w:sz w:val="20"/>
                <w:szCs w:val="20"/>
              </w:rPr>
              <w:t xml:space="preserve">La pobreza está más extendida entre los hogares encabezados por hombres que por mujeres: el 52.4% de la población que vive en hogares de jefatura masculina es pobre, frente al 47.2% de quienes viven en hogares de jefatura femenina. </w:t>
            </w:r>
          </w:p>
        </w:tc>
        <w:tc>
          <w:tcPr>
            <w:tcW w:w="2457" w:type="dxa"/>
          </w:tcPr>
          <w:p w14:paraId="5E6BC00B" w14:textId="77777777" w:rsidR="00F82798" w:rsidRPr="002C0FBF" w:rsidRDefault="00F82798">
            <w:pPr>
              <w:pStyle w:val="Normal1"/>
              <w:rPr>
                <w:rFonts w:ascii="Source Sans Pro Regular" w:hAnsi="Source Sans Pro Regular"/>
                <w:color w:val="898D8D"/>
                <w:sz w:val="20"/>
                <w:szCs w:val="20"/>
              </w:rPr>
            </w:pPr>
          </w:p>
        </w:tc>
      </w:tr>
      <w:tr w:rsidR="00F82798" w:rsidRPr="002C0FBF" w14:paraId="36EF969D" w14:textId="77777777" w:rsidTr="00517506">
        <w:tc>
          <w:tcPr>
            <w:tcW w:w="2174" w:type="dxa"/>
          </w:tcPr>
          <w:p w14:paraId="72036145" w14:textId="77777777" w:rsidR="00F82798" w:rsidRDefault="000A63FB">
            <w:pPr>
              <w:pStyle w:val="Normal1"/>
              <w:rPr>
                <w:rFonts w:ascii="Source Sans Pro Regular" w:hAnsi="Source Sans Pro Regular"/>
                <w:b/>
                <w:color w:val="898D8D"/>
                <w:sz w:val="20"/>
                <w:szCs w:val="20"/>
              </w:rPr>
            </w:pPr>
            <w:r w:rsidRPr="00D93860">
              <w:rPr>
                <w:rFonts w:ascii="Source Sans Pro Regular" w:hAnsi="Source Sans Pro Regular"/>
                <w:b/>
                <w:color w:val="898D8D"/>
                <w:sz w:val="20"/>
                <w:szCs w:val="20"/>
              </w:rPr>
              <w:t>Desigualdad en el ingreso</w:t>
            </w:r>
          </w:p>
          <w:p w14:paraId="06B78D01" w14:textId="77777777" w:rsidR="00D93860" w:rsidRDefault="00D93860">
            <w:pPr>
              <w:pStyle w:val="Normal1"/>
              <w:rPr>
                <w:rFonts w:ascii="Source Sans Pro Regular" w:hAnsi="Source Sans Pro Regular"/>
                <w:b/>
                <w:color w:val="898D8D"/>
                <w:sz w:val="20"/>
                <w:szCs w:val="20"/>
              </w:rPr>
            </w:pPr>
          </w:p>
          <w:p w14:paraId="057F6819" w14:textId="6FF94A05" w:rsidR="00D93860" w:rsidRPr="00560DE5" w:rsidRDefault="00560DE5">
            <w:pPr>
              <w:pStyle w:val="Normal1"/>
              <w:rPr>
                <w:rFonts w:ascii="Source Sans Pro Regular" w:hAnsi="Source Sans Pro Regular"/>
                <w:color w:val="898D8D"/>
                <w:sz w:val="20"/>
                <w:szCs w:val="20"/>
              </w:rPr>
            </w:pPr>
            <w:r w:rsidRPr="00560DE5">
              <w:rPr>
                <w:rFonts w:ascii="Source Sans Pro Regular" w:hAnsi="Source Sans Pro Regular"/>
                <w:color w:val="898D8D"/>
                <w:sz w:val="20"/>
                <w:szCs w:val="20"/>
              </w:rPr>
              <w:lastRenderedPageBreak/>
              <w:t>Fuente</w:t>
            </w:r>
            <w:r>
              <w:rPr>
                <w:rFonts w:ascii="Source Sans Pro Regular" w:hAnsi="Source Sans Pro Regular"/>
                <w:color w:val="898D8D"/>
                <w:sz w:val="20"/>
                <w:szCs w:val="20"/>
              </w:rPr>
              <w:t>s</w:t>
            </w:r>
            <w:r w:rsidRPr="00560DE5">
              <w:rPr>
                <w:rFonts w:ascii="Source Sans Pro Regular" w:hAnsi="Source Sans Pro Regular"/>
                <w:color w:val="898D8D"/>
                <w:sz w:val="20"/>
                <w:szCs w:val="20"/>
              </w:rPr>
              <w:t xml:space="preserve">: </w:t>
            </w:r>
            <w:r>
              <w:rPr>
                <w:rFonts w:ascii="Source Sans Pro Regular" w:hAnsi="Source Sans Pro Regular"/>
                <w:color w:val="898D8D"/>
                <w:sz w:val="20"/>
                <w:szCs w:val="20"/>
              </w:rPr>
              <w:t>Diagnóstico (gráfica 4.8)</w:t>
            </w:r>
          </w:p>
        </w:tc>
        <w:tc>
          <w:tcPr>
            <w:tcW w:w="5481" w:type="dxa"/>
          </w:tcPr>
          <w:p w14:paraId="03C94953" w14:textId="77777777" w:rsidR="00F82798" w:rsidRPr="002C0FBF" w:rsidRDefault="000A63FB" w:rsidP="00560DE5">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lastRenderedPageBreak/>
              <w:t xml:space="preserve">El índice de Gini para el periodo 2012-2018 permite mostrar la persistencia de una Ciudad muy desigual en términos de ingreso, con una ligera tendencia a disminuir: </w:t>
            </w:r>
            <w:r w:rsidRPr="002C0FBF">
              <w:rPr>
                <w:rFonts w:ascii="Source Sans Pro Regular" w:hAnsi="Source Sans Pro Regular"/>
                <w:color w:val="898D8D"/>
                <w:sz w:val="20"/>
                <w:szCs w:val="20"/>
              </w:rPr>
              <w:lastRenderedPageBreak/>
              <w:t>pasó de 0.74 a 0.68 entre esos años.</w:t>
            </w:r>
          </w:p>
        </w:tc>
        <w:tc>
          <w:tcPr>
            <w:tcW w:w="2457" w:type="dxa"/>
          </w:tcPr>
          <w:p w14:paraId="5C0E9824" w14:textId="77777777" w:rsidR="00F82798" w:rsidRPr="002C0FBF" w:rsidRDefault="00F82798">
            <w:pPr>
              <w:pStyle w:val="Normal1"/>
              <w:rPr>
                <w:rFonts w:ascii="Source Sans Pro Regular" w:hAnsi="Source Sans Pro Regular"/>
                <w:color w:val="898D8D"/>
                <w:sz w:val="20"/>
                <w:szCs w:val="20"/>
              </w:rPr>
            </w:pPr>
          </w:p>
        </w:tc>
      </w:tr>
    </w:tbl>
    <w:p w14:paraId="7FF5E3B7" w14:textId="77777777" w:rsidR="00794E81" w:rsidRDefault="00794E81"/>
    <w:tbl>
      <w:tblPr>
        <w:tblStyle w:val="a"/>
        <w:tblW w:w="101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4"/>
        <w:gridCol w:w="4821"/>
        <w:gridCol w:w="3117"/>
      </w:tblGrid>
      <w:tr w:rsidR="00F82798" w:rsidRPr="008F1B08" w14:paraId="49526223" w14:textId="77777777" w:rsidTr="008F1B08">
        <w:trPr>
          <w:trHeight w:val="340"/>
        </w:trPr>
        <w:tc>
          <w:tcPr>
            <w:tcW w:w="10112" w:type="dxa"/>
            <w:gridSpan w:val="3"/>
            <w:shd w:val="solid" w:color="008000" w:fill="auto"/>
            <w:vAlign w:val="center"/>
          </w:tcPr>
          <w:p w14:paraId="2071D057" w14:textId="51A69A60" w:rsidR="00F82798" w:rsidRPr="008F1B08" w:rsidRDefault="0049710D" w:rsidP="00794E81">
            <w:pPr>
              <w:pStyle w:val="Normal1"/>
              <w:jc w:val="center"/>
              <w:rPr>
                <w:rFonts w:ascii="Source Sans Pro Regular" w:hAnsi="Source Sans Pro Regular"/>
                <w:b/>
                <w:color w:val="FFFFFF" w:themeColor="background1"/>
                <w:sz w:val="20"/>
                <w:szCs w:val="20"/>
              </w:rPr>
            </w:pPr>
            <w:r>
              <w:rPr>
                <w:rFonts w:ascii="Source Sans Pro Regular" w:hAnsi="Source Sans Pro Regular"/>
                <w:b/>
                <w:color w:val="FFFFFF" w:themeColor="background1"/>
                <w:sz w:val="20"/>
                <w:szCs w:val="20"/>
              </w:rPr>
              <w:t xml:space="preserve">(Capítulo 5) </w:t>
            </w:r>
            <w:r w:rsidR="00794E81" w:rsidRPr="008F1B08">
              <w:rPr>
                <w:rFonts w:ascii="Source Sans Pro Regular" w:hAnsi="Source Sans Pro Regular"/>
                <w:b/>
                <w:color w:val="FFFFFF" w:themeColor="background1"/>
                <w:sz w:val="20"/>
                <w:szCs w:val="20"/>
              </w:rPr>
              <w:t>SALUD</w:t>
            </w:r>
          </w:p>
        </w:tc>
      </w:tr>
      <w:tr w:rsidR="00F82798" w:rsidRPr="008F1B08" w14:paraId="053AD647" w14:textId="77777777" w:rsidTr="008F1B08">
        <w:tc>
          <w:tcPr>
            <w:tcW w:w="2174" w:type="dxa"/>
            <w:shd w:val="solid" w:color="008000" w:fill="auto"/>
          </w:tcPr>
          <w:p w14:paraId="788BABF5" w14:textId="77777777" w:rsidR="00F82798" w:rsidRPr="008F1B08" w:rsidRDefault="000A63FB">
            <w:pPr>
              <w:pStyle w:val="Normal1"/>
              <w:rPr>
                <w:rFonts w:ascii="Source Sans Pro Regular" w:hAnsi="Source Sans Pro Regular"/>
                <w:b/>
                <w:color w:val="FFFFFF" w:themeColor="background1"/>
                <w:sz w:val="20"/>
                <w:szCs w:val="20"/>
              </w:rPr>
            </w:pPr>
            <w:r w:rsidRPr="008F1B08">
              <w:rPr>
                <w:rFonts w:ascii="Source Sans Pro Regular" w:hAnsi="Source Sans Pro Regular"/>
                <w:b/>
                <w:color w:val="FFFFFF" w:themeColor="background1"/>
                <w:sz w:val="20"/>
                <w:szCs w:val="20"/>
              </w:rPr>
              <w:t>Temas y fuente</w:t>
            </w:r>
          </w:p>
        </w:tc>
        <w:tc>
          <w:tcPr>
            <w:tcW w:w="4821" w:type="dxa"/>
            <w:shd w:val="solid" w:color="008000" w:fill="auto"/>
          </w:tcPr>
          <w:p w14:paraId="2150CEA4" w14:textId="77777777" w:rsidR="00F82798" w:rsidRPr="008F1B08" w:rsidRDefault="000A63FB">
            <w:pPr>
              <w:pStyle w:val="Normal1"/>
              <w:rPr>
                <w:rFonts w:ascii="Source Sans Pro Regular" w:hAnsi="Source Sans Pro Regular"/>
                <w:b/>
                <w:color w:val="FFFFFF" w:themeColor="background1"/>
                <w:sz w:val="20"/>
                <w:szCs w:val="20"/>
              </w:rPr>
            </w:pPr>
            <w:r w:rsidRPr="008F1B08">
              <w:rPr>
                <w:rFonts w:ascii="Source Sans Pro Regular" w:hAnsi="Source Sans Pro Regular"/>
                <w:b/>
                <w:color w:val="FFFFFF" w:themeColor="background1"/>
                <w:sz w:val="20"/>
                <w:szCs w:val="20"/>
              </w:rPr>
              <w:t>Indicador</w:t>
            </w:r>
          </w:p>
        </w:tc>
        <w:tc>
          <w:tcPr>
            <w:tcW w:w="3117" w:type="dxa"/>
            <w:shd w:val="solid" w:color="008000" w:fill="auto"/>
          </w:tcPr>
          <w:p w14:paraId="34142E23" w14:textId="77777777" w:rsidR="00F82798" w:rsidRPr="008F1B08" w:rsidRDefault="00F82798">
            <w:pPr>
              <w:pStyle w:val="Normal1"/>
              <w:rPr>
                <w:rFonts w:ascii="Source Sans Pro Regular" w:hAnsi="Source Sans Pro Regular"/>
                <w:color w:val="FFFFFF" w:themeColor="background1"/>
                <w:sz w:val="20"/>
                <w:szCs w:val="20"/>
              </w:rPr>
            </w:pPr>
          </w:p>
        </w:tc>
      </w:tr>
      <w:tr w:rsidR="00F82798" w:rsidRPr="002C0FBF" w14:paraId="0FFA4AB9" w14:textId="77777777" w:rsidTr="004D43EE">
        <w:tc>
          <w:tcPr>
            <w:tcW w:w="2174" w:type="dxa"/>
          </w:tcPr>
          <w:p w14:paraId="3D3B01F0" w14:textId="0A2CF700" w:rsidR="00F82798" w:rsidRPr="001612CF" w:rsidRDefault="001612CF">
            <w:pPr>
              <w:pStyle w:val="Normal1"/>
              <w:rPr>
                <w:rFonts w:ascii="Source Sans Pro Regular" w:hAnsi="Source Sans Pro Regular"/>
                <w:b/>
                <w:color w:val="898D8D"/>
                <w:sz w:val="20"/>
                <w:szCs w:val="20"/>
              </w:rPr>
            </w:pPr>
            <w:r>
              <w:rPr>
                <w:rFonts w:ascii="Source Sans Pro Regular" w:hAnsi="Source Sans Pro Regular"/>
                <w:b/>
                <w:color w:val="898D8D"/>
                <w:sz w:val="20"/>
                <w:szCs w:val="20"/>
              </w:rPr>
              <w:t>Transición epidemiológica</w:t>
            </w:r>
          </w:p>
          <w:p w14:paraId="1BC62B1B" w14:textId="77777777" w:rsidR="00F82798" w:rsidRPr="001612CF" w:rsidRDefault="00F82798">
            <w:pPr>
              <w:pStyle w:val="Normal1"/>
              <w:rPr>
                <w:rFonts w:ascii="Source Sans Pro Regular" w:hAnsi="Source Sans Pro Regular"/>
                <w:color w:val="898D8D"/>
                <w:sz w:val="20"/>
                <w:szCs w:val="20"/>
              </w:rPr>
            </w:pPr>
          </w:p>
          <w:p w14:paraId="1C707943" w14:textId="77777777" w:rsidR="00F82798" w:rsidRPr="001612CF" w:rsidRDefault="000A63FB">
            <w:pPr>
              <w:pStyle w:val="Normal1"/>
              <w:rPr>
                <w:rFonts w:ascii="Source Sans Pro Regular" w:hAnsi="Source Sans Pro Regular"/>
                <w:color w:val="898D8D"/>
                <w:sz w:val="20"/>
                <w:szCs w:val="20"/>
              </w:rPr>
            </w:pPr>
            <w:r w:rsidRPr="001612CF">
              <w:rPr>
                <w:rFonts w:ascii="Source Sans Pro Regular" w:hAnsi="Source Sans Pro Regular"/>
                <w:color w:val="898D8D"/>
                <w:sz w:val="20"/>
                <w:szCs w:val="20"/>
              </w:rPr>
              <w:t>Fuentes: Diagnóstico (cuadro 5.1)</w:t>
            </w:r>
          </w:p>
        </w:tc>
        <w:tc>
          <w:tcPr>
            <w:tcW w:w="4821" w:type="dxa"/>
          </w:tcPr>
          <w:p w14:paraId="21E8B9A3" w14:textId="37EA3783" w:rsidR="00F82798" w:rsidRPr="001612CF" w:rsidRDefault="000A63FB" w:rsidP="00092C28">
            <w:pPr>
              <w:pStyle w:val="Normal1"/>
              <w:numPr>
                <w:ilvl w:val="0"/>
                <w:numId w:val="9"/>
              </w:numPr>
              <w:spacing w:after="60"/>
              <w:ind w:left="414" w:hanging="414"/>
              <w:rPr>
                <w:rFonts w:ascii="Source Sans Pro Regular" w:hAnsi="Source Sans Pro Regular"/>
                <w:color w:val="898D8D"/>
                <w:sz w:val="20"/>
                <w:szCs w:val="20"/>
              </w:rPr>
            </w:pPr>
            <w:r w:rsidRPr="001612CF">
              <w:rPr>
                <w:rFonts w:ascii="Source Sans Pro Regular" w:hAnsi="Source Sans Pro Regular"/>
                <w:color w:val="898D8D"/>
                <w:sz w:val="20"/>
                <w:szCs w:val="20"/>
              </w:rPr>
              <w:t>Las principales causas de muerte entre la población de la Ciudad son (2016):</w:t>
            </w:r>
          </w:p>
          <w:p w14:paraId="782661D3" w14:textId="35DD5EB4" w:rsidR="00F82798" w:rsidRPr="001612CF" w:rsidRDefault="000A63FB" w:rsidP="00B358A4">
            <w:pPr>
              <w:pStyle w:val="Normal1"/>
              <w:numPr>
                <w:ilvl w:val="0"/>
                <w:numId w:val="8"/>
              </w:numPr>
              <w:ind w:left="714" w:hanging="357"/>
              <w:rPr>
                <w:rFonts w:ascii="Source Sans Pro Regular" w:hAnsi="Source Sans Pro Regular"/>
                <w:color w:val="898D8D"/>
                <w:sz w:val="20"/>
                <w:szCs w:val="20"/>
              </w:rPr>
            </w:pPr>
            <w:r w:rsidRPr="001612CF">
              <w:rPr>
                <w:rFonts w:ascii="Source Sans Pro Regular" w:hAnsi="Source Sans Pro Regular"/>
                <w:color w:val="898D8D"/>
                <w:sz w:val="20"/>
                <w:szCs w:val="20"/>
              </w:rPr>
              <w:t>Enfermedades del corazón</w:t>
            </w:r>
            <w:r w:rsidR="00A8643E">
              <w:rPr>
                <w:rFonts w:ascii="Source Sans Pro Regular" w:hAnsi="Source Sans Pro Regular"/>
                <w:color w:val="898D8D"/>
                <w:sz w:val="20"/>
                <w:szCs w:val="20"/>
              </w:rPr>
              <w:t>:</w:t>
            </w:r>
            <w:r w:rsidRPr="001612CF">
              <w:rPr>
                <w:rFonts w:ascii="Source Sans Pro Regular" w:hAnsi="Source Sans Pro Regular"/>
                <w:color w:val="898D8D"/>
                <w:sz w:val="20"/>
                <w:szCs w:val="20"/>
              </w:rPr>
              <w:t xml:space="preserve"> 166 muertes por cada 100,000 habitantes</w:t>
            </w:r>
          </w:p>
          <w:p w14:paraId="7383E405" w14:textId="3B6D911E" w:rsidR="00F82798" w:rsidRPr="001612CF" w:rsidRDefault="000A63FB" w:rsidP="00B358A4">
            <w:pPr>
              <w:pStyle w:val="Normal1"/>
              <w:numPr>
                <w:ilvl w:val="0"/>
                <w:numId w:val="8"/>
              </w:numPr>
              <w:ind w:left="714" w:hanging="357"/>
              <w:rPr>
                <w:rFonts w:ascii="Source Sans Pro Regular" w:hAnsi="Source Sans Pro Regular"/>
                <w:color w:val="898D8D"/>
                <w:sz w:val="20"/>
                <w:szCs w:val="20"/>
              </w:rPr>
            </w:pPr>
            <w:r w:rsidRPr="001612CF">
              <w:rPr>
                <w:rFonts w:ascii="Source Sans Pro Regular" w:hAnsi="Source Sans Pro Regular"/>
                <w:color w:val="898D8D"/>
                <w:sz w:val="20"/>
                <w:szCs w:val="20"/>
              </w:rPr>
              <w:t>Diabetes mellitus</w:t>
            </w:r>
            <w:r w:rsidR="00A8643E">
              <w:rPr>
                <w:rFonts w:ascii="Source Sans Pro Regular" w:hAnsi="Source Sans Pro Regular"/>
                <w:color w:val="898D8D"/>
                <w:sz w:val="20"/>
                <w:szCs w:val="20"/>
              </w:rPr>
              <w:t>:</w:t>
            </w:r>
            <w:r w:rsidRPr="001612CF">
              <w:rPr>
                <w:rFonts w:ascii="Source Sans Pro Regular" w:hAnsi="Source Sans Pro Regular"/>
                <w:color w:val="898D8D"/>
                <w:sz w:val="20"/>
                <w:szCs w:val="20"/>
              </w:rPr>
              <w:t xml:space="preserve"> 116</w:t>
            </w:r>
          </w:p>
          <w:p w14:paraId="25CF8423" w14:textId="3E5523F2" w:rsidR="00F82798" w:rsidRPr="001612CF" w:rsidRDefault="000A63FB" w:rsidP="00B358A4">
            <w:pPr>
              <w:pStyle w:val="Normal1"/>
              <w:numPr>
                <w:ilvl w:val="0"/>
                <w:numId w:val="8"/>
              </w:numPr>
              <w:ind w:left="714" w:hanging="357"/>
              <w:rPr>
                <w:rFonts w:ascii="Source Sans Pro Regular" w:hAnsi="Source Sans Pro Regular"/>
                <w:color w:val="898D8D"/>
                <w:sz w:val="20"/>
                <w:szCs w:val="20"/>
              </w:rPr>
            </w:pPr>
            <w:r w:rsidRPr="001612CF">
              <w:rPr>
                <w:rFonts w:ascii="Source Sans Pro Regular" w:hAnsi="Source Sans Pro Regular"/>
                <w:color w:val="898D8D"/>
                <w:sz w:val="20"/>
                <w:szCs w:val="20"/>
              </w:rPr>
              <w:t>Tumores malignos</w:t>
            </w:r>
            <w:r w:rsidR="00A8643E">
              <w:rPr>
                <w:rFonts w:ascii="Source Sans Pro Regular" w:hAnsi="Source Sans Pro Regular"/>
                <w:color w:val="898D8D"/>
                <w:sz w:val="20"/>
                <w:szCs w:val="20"/>
              </w:rPr>
              <w:t>:</w:t>
            </w:r>
            <w:r w:rsidRPr="001612CF">
              <w:rPr>
                <w:rFonts w:ascii="Source Sans Pro Regular" w:hAnsi="Source Sans Pro Regular"/>
                <w:color w:val="898D8D"/>
                <w:sz w:val="20"/>
                <w:szCs w:val="20"/>
              </w:rPr>
              <w:t xml:space="preserve">  94</w:t>
            </w:r>
          </w:p>
          <w:p w14:paraId="250CF0FB" w14:textId="6C846231" w:rsidR="00F82798" w:rsidRPr="001612CF" w:rsidRDefault="000A63FB" w:rsidP="00B358A4">
            <w:pPr>
              <w:pStyle w:val="Normal1"/>
              <w:numPr>
                <w:ilvl w:val="0"/>
                <w:numId w:val="8"/>
              </w:numPr>
              <w:ind w:left="714" w:hanging="357"/>
              <w:rPr>
                <w:rFonts w:ascii="Source Sans Pro Regular" w:hAnsi="Source Sans Pro Regular"/>
                <w:color w:val="898D8D"/>
                <w:sz w:val="20"/>
                <w:szCs w:val="20"/>
              </w:rPr>
            </w:pPr>
            <w:r w:rsidRPr="001612CF">
              <w:rPr>
                <w:rFonts w:ascii="Source Sans Pro Regular" w:hAnsi="Source Sans Pro Regular"/>
                <w:color w:val="898D8D"/>
                <w:sz w:val="20"/>
                <w:szCs w:val="20"/>
              </w:rPr>
              <w:t>Enfermedades cerebrovasculares</w:t>
            </w:r>
            <w:r w:rsidR="00A8643E">
              <w:rPr>
                <w:rFonts w:ascii="Source Sans Pro Regular" w:hAnsi="Source Sans Pro Regular"/>
                <w:color w:val="898D8D"/>
                <w:sz w:val="20"/>
                <w:szCs w:val="20"/>
              </w:rPr>
              <w:t>:</w:t>
            </w:r>
            <w:r w:rsidRPr="001612CF">
              <w:rPr>
                <w:rFonts w:ascii="Source Sans Pro Regular" w:hAnsi="Source Sans Pro Regular"/>
                <w:color w:val="898D8D"/>
                <w:sz w:val="20"/>
                <w:szCs w:val="20"/>
              </w:rPr>
              <w:t xml:space="preserve"> 34</w:t>
            </w:r>
          </w:p>
          <w:p w14:paraId="7C85A4D9" w14:textId="71FFA73E" w:rsidR="00F82798" w:rsidRPr="001612CF" w:rsidRDefault="000A63FB" w:rsidP="00B358A4">
            <w:pPr>
              <w:pStyle w:val="Normal1"/>
              <w:numPr>
                <w:ilvl w:val="0"/>
                <w:numId w:val="8"/>
              </w:numPr>
              <w:ind w:left="714" w:hanging="357"/>
              <w:rPr>
                <w:rFonts w:ascii="Source Sans Pro Regular" w:hAnsi="Source Sans Pro Regular"/>
                <w:color w:val="898D8D"/>
                <w:sz w:val="20"/>
                <w:szCs w:val="20"/>
              </w:rPr>
            </w:pPr>
            <w:r w:rsidRPr="001612CF">
              <w:rPr>
                <w:rFonts w:ascii="Source Sans Pro Regular" w:hAnsi="Source Sans Pro Regular"/>
                <w:color w:val="898D8D"/>
                <w:sz w:val="20"/>
                <w:szCs w:val="20"/>
              </w:rPr>
              <w:t>Enfermedades del hígado</w:t>
            </w:r>
            <w:r w:rsidR="00A8643E">
              <w:rPr>
                <w:rFonts w:ascii="Source Sans Pro Regular" w:hAnsi="Source Sans Pro Regular"/>
                <w:color w:val="898D8D"/>
                <w:sz w:val="20"/>
                <w:szCs w:val="20"/>
              </w:rPr>
              <w:t>:</w:t>
            </w:r>
            <w:r w:rsidRPr="001612CF">
              <w:rPr>
                <w:rFonts w:ascii="Source Sans Pro Regular" w:hAnsi="Source Sans Pro Regular"/>
                <w:color w:val="898D8D"/>
                <w:sz w:val="20"/>
                <w:szCs w:val="20"/>
              </w:rPr>
              <w:t xml:space="preserve"> 34</w:t>
            </w:r>
          </w:p>
          <w:p w14:paraId="2E12069A" w14:textId="1B5C712F" w:rsidR="00F82798" w:rsidRPr="001612CF" w:rsidRDefault="000A63FB" w:rsidP="00B358A4">
            <w:pPr>
              <w:pStyle w:val="Normal1"/>
              <w:numPr>
                <w:ilvl w:val="0"/>
                <w:numId w:val="8"/>
              </w:numPr>
              <w:spacing w:after="60"/>
              <w:ind w:left="714" w:hanging="357"/>
              <w:rPr>
                <w:rFonts w:ascii="Source Sans Pro Regular" w:hAnsi="Source Sans Pro Regular"/>
                <w:color w:val="898D8D"/>
                <w:sz w:val="20"/>
                <w:szCs w:val="20"/>
              </w:rPr>
            </w:pPr>
            <w:r w:rsidRPr="001612CF">
              <w:rPr>
                <w:rFonts w:ascii="Source Sans Pro Regular" w:hAnsi="Source Sans Pro Regular"/>
                <w:color w:val="898D8D"/>
                <w:sz w:val="20"/>
                <w:szCs w:val="20"/>
              </w:rPr>
              <w:t>Enfermedad alcohólica del hígado</w:t>
            </w:r>
            <w:r w:rsidR="00A8643E">
              <w:rPr>
                <w:rFonts w:ascii="Source Sans Pro Regular" w:hAnsi="Source Sans Pro Regular"/>
                <w:color w:val="898D8D"/>
                <w:sz w:val="20"/>
                <w:szCs w:val="20"/>
              </w:rPr>
              <w:t>:</w:t>
            </w:r>
            <w:r w:rsidRPr="001612CF">
              <w:rPr>
                <w:rFonts w:ascii="Source Sans Pro Regular" w:hAnsi="Source Sans Pro Regular"/>
                <w:color w:val="898D8D"/>
                <w:sz w:val="20"/>
                <w:szCs w:val="20"/>
              </w:rPr>
              <w:t xml:space="preserve"> 13.</w:t>
            </w:r>
          </w:p>
          <w:p w14:paraId="4195F8B5" w14:textId="535DEC9C" w:rsidR="00F82798" w:rsidRPr="001612CF" w:rsidRDefault="000A63FB" w:rsidP="00A8643E">
            <w:pPr>
              <w:pStyle w:val="Normal1"/>
              <w:numPr>
                <w:ilvl w:val="0"/>
                <w:numId w:val="9"/>
              </w:numPr>
              <w:spacing w:after="60"/>
              <w:ind w:left="414" w:hanging="414"/>
              <w:rPr>
                <w:rFonts w:ascii="Source Sans Pro Regular" w:hAnsi="Source Sans Pro Regular"/>
                <w:color w:val="898D8D"/>
                <w:sz w:val="20"/>
                <w:szCs w:val="20"/>
              </w:rPr>
            </w:pPr>
            <w:r w:rsidRPr="001612CF">
              <w:rPr>
                <w:rFonts w:ascii="Source Sans Pro Regular" w:hAnsi="Source Sans Pro Regular"/>
                <w:color w:val="898D8D"/>
                <w:sz w:val="20"/>
                <w:szCs w:val="20"/>
              </w:rPr>
              <w:t>En el caso de las enfermedades del hígado</w:t>
            </w:r>
            <w:r w:rsidR="00A8643E">
              <w:rPr>
                <w:rFonts w:ascii="Source Sans Pro Regular" w:hAnsi="Source Sans Pro Regular"/>
                <w:color w:val="898D8D"/>
                <w:sz w:val="20"/>
                <w:szCs w:val="20"/>
              </w:rPr>
              <w:t>,</w:t>
            </w:r>
            <w:r w:rsidRPr="001612CF">
              <w:rPr>
                <w:rFonts w:ascii="Source Sans Pro Regular" w:hAnsi="Source Sans Pro Regular"/>
                <w:color w:val="898D8D"/>
                <w:sz w:val="20"/>
                <w:szCs w:val="20"/>
              </w:rPr>
              <w:t xml:space="preserve"> la tasa de mortalidad es más alta entre hombres (52 muertes por cada 100,000 hombres) que en mujeres (17 </w:t>
            </w:r>
            <w:r w:rsidR="0051258E">
              <w:rPr>
                <w:rFonts w:ascii="Source Sans Pro Regular" w:hAnsi="Source Sans Pro Regular"/>
                <w:color w:val="898D8D"/>
                <w:sz w:val="20"/>
                <w:szCs w:val="20"/>
              </w:rPr>
              <w:t xml:space="preserve">muertes </w:t>
            </w:r>
            <w:r w:rsidRPr="001612CF">
              <w:rPr>
                <w:rFonts w:ascii="Source Sans Pro Regular" w:hAnsi="Source Sans Pro Regular"/>
                <w:color w:val="898D8D"/>
                <w:sz w:val="20"/>
                <w:szCs w:val="20"/>
              </w:rPr>
              <w:t>por cada 100,000 mujeres).</w:t>
            </w:r>
          </w:p>
          <w:p w14:paraId="317318CA" w14:textId="5C982204" w:rsidR="00F82798" w:rsidRPr="001612CF" w:rsidRDefault="00A8643E" w:rsidP="0051258E">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L</w:t>
            </w:r>
            <w:r w:rsidR="000A63FB" w:rsidRPr="001612CF">
              <w:rPr>
                <w:rFonts w:ascii="Source Sans Pro Regular" w:hAnsi="Source Sans Pro Regular"/>
                <w:color w:val="898D8D"/>
                <w:sz w:val="20"/>
                <w:szCs w:val="20"/>
              </w:rPr>
              <w:t>a tasa de muertes por diabetes mellitus es más alta para hombres (127</w:t>
            </w:r>
            <w:r w:rsidR="0051258E">
              <w:rPr>
                <w:rFonts w:ascii="Source Sans Pro Regular" w:hAnsi="Source Sans Pro Regular"/>
                <w:color w:val="898D8D"/>
                <w:sz w:val="20"/>
                <w:szCs w:val="20"/>
              </w:rPr>
              <w:t xml:space="preserve"> muertes por cada 100,000 hombres</w:t>
            </w:r>
            <w:r w:rsidR="000A63FB" w:rsidRPr="001612CF">
              <w:rPr>
                <w:rFonts w:ascii="Source Sans Pro Regular" w:hAnsi="Source Sans Pro Regular"/>
                <w:color w:val="898D8D"/>
                <w:sz w:val="20"/>
                <w:szCs w:val="20"/>
              </w:rPr>
              <w:t>) que para  mujeres (105</w:t>
            </w:r>
            <w:r w:rsidR="0051258E">
              <w:rPr>
                <w:rFonts w:ascii="Source Sans Pro Regular" w:hAnsi="Source Sans Pro Regular"/>
                <w:color w:val="898D8D"/>
                <w:sz w:val="20"/>
                <w:szCs w:val="20"/>
              </w:rPr>
              <w:t xml:space="preserve"> muertes por cada 100,000 mujeres</w:t>
            </w:r>
            <w:r w:rsidR="000A63FB" w:rsidRPr="001612CF">
              <w:rPr>
                <w:rFonts w:ascii="Source Sans Pro Regular" w:hAnsi="Source Sans Pro Regular"/>
                <w:color w:val="898D8D"/>
                <w:sz w:val="20"/>
                <w:szCs w:val="20"/>
              </w:rPr>
              <w:t>).</w:t>
            </w:r>
          </w:p>
        </w:tc>
        <w:tc>
          <w:tcPr>
            <w:tcW w:w="3117" w:type="dxa"/>
          </w:tcPr>
          <w:p w14:paraId="278AB97A" w14:textId="77777777" w:rsidR="00F82798" w:rsidRPr="001612CF" w:rsidRDefault="00F82798">
            <w:pPr>
              <w:pStyle w:val="Normal1"/>
              <w:rPr>
                <w:rFonts w:ascii="Source Sans Pro Regular" w:hAnsi="Source Sans Pro Regular"/>
                <w:color w:val="898D8D"/>
                <w:sz w:val="20"/>
                <w:szCs w:val="20"/>
              </w:rPr>
            </w:pPr>
          </w:p>
        </w:tc>
      </w:tr>
      <w:tr w:rsidR="00F82798" w:rsidRPr="002C0FBF" w14:paraId="2C0A2AC5" w14:textId="77777777" w:rsidTr="004D43EE">
        <w:tc>
          <w:tcPr>
            <w:tcW w:w="2174" w:type="dxa"/>
          </w:tcPr>
          <w:p w14:paraId="1011670A" w14:textId="77777777" w:rsidR="00F82798" w:rsidRPr="001612CF" w:rsidRDefault="000A63FB">
            <w:pPr>
              <w:pStyle w:val="Normal1"/>
              <w:rPr>
                <w:rFonts w:ascii="Source Sans Pro Regular" w:hAnsi="Source Sans Pro Regular"/>
                <w:b/>
                <w:color w:val="898D8D"/>
                <w:sz w:val="20"/>
                <w:szCs w:val="20"/>
              </w:rPr>
            </w:pPr>
            <w:r w:rsidRPr="001612CF">
              <w:rPr>
                <w:rFonts w:ascii="Source Sans Pro Regular" w:hAnsi="Source Sans Pro Regular"/>
                <w:b/>
                <w:color w:val="898D8D"/>
                <w:sz w:val="20"/>
                <w:szCs w:val="20"/>
              </w:rPr>
              <w:t>Tasa de mortalidad materna</w:t>
            </w:r>
          </w:p>
          <w:p w14:paraId="06AA9738" w14:textId="77777777" w:rsidR="00F82798" w:rsidRPr="001612CF" w:rsidRDefault="00F82798">
            <w:pPr>
              <w:pStyle w:val="Normal1"/>
              <w:rPr>
                <w:rFonts w:ascii="Source Sans Pro Regular" w:hAnsi="Source Sans Pro Regular"/>
                <w:color w:val="898D8D"/>
                <w:sz w:val="20"/>
                <w:szCs w:val="20"/>
              </w:rPr>
            </w:pPr>
          </w:p>
          <w:p w14:paraId="5977F5BE" w14:textId="77777777" w:rsidR="00F82798" w:rsidRPr="001612CF" w:rsidRDefault="000A63FB">
            <w:pPr>
              <w:pStyle w:val="Normal1"/>
              <w:rPr>
                <w:rFonts w:ascii="Source Sans Pro Regular" w:hAnsi="Source Sans Pro Regular"/>
                <w:color w:val="898D8D"/>
                <w:sz w:val="20"/>
                <w:szCs w:val="20"/>
              </w:rPr>
            </w:pPr>
            <w:r w:rsidRPr="001612CF">
              <w:rPr>
                <w:rFonts w:ascii="Source Sans Pro Regular" w:hAnsi="Source Sans Pro Regular"/>
                <w:color w:val="898D8D"/>
                <w:sz w:val="20"/>
                <w:szCs w:val="20"/>
              </w:rPr>
              <w:t>Fuente: Diagnóstico (gráfica 5.3)</w:t>
            </w:r>
          </w:p>
        </w:tc>
        <w:tc>
          <w:tcPr>
            <w:tcW w:w="4821" w:type="dxa"/>
          </w:tcPr>
          <w:p w14:paraId="6A1B4EEA" w14:textId="5B14836A" w:rsidR="00F82798" w:rsidRPr="001612CF" w:rsidRDefault="000A63FB" w:rsidP="00D01701">
            <w:pPr>
              <w:pStyle w:val="Normal1"/>
              <w:numPr>
                <w:ilvl w:val="0"/>
                <w:numId w:val="9"/>
              </w:numPr>
              <w:spacing w:after="60"/>
              <w:ind w:left="414" w:hanging="414"/>
              <w:rPr>
                <w:rFonts w:ascii="Source Sans Pro Regular" w:hAnsi="Source Sans Pro Regular"/>
                <w:color w:val="898D8D"/>
                <w:sz w:val="20"/>
                <w:szCs w:val="20"/>
              </w:rPr>
            </w:pPr>
            <w:r w:rsidRPr="001612CF">
              <w:rPr>
                <w:rFonts w:ascii="Source Sans Pro Regular" w:hAnsi="Source Sans Pro Regular"/>
                <w:color w:val="898D8D"/>
                <w:sz w:val="20"/>
                <w:szCs w:val="20"/>
              </w:rPr>
              <w:t>En 2016, la tasa de mortalidad materna (TMM, muertes por causas relacionadas con embarazo y parto) es de 28 defunciones por cada 100,000 nacimientos.</w:t>
            </w:r>
          </w:p>
          <w:p w14:paraId="34AF5F7E" w14:textId="3D026016" w:rsidR="00F82798" w:rsidRPr="001612CF" w:rsidRDefault="000A63FB" w:rsidP="00D01701">
            <w:pPr>
              <w:pStyle w:val="Normal1"/>
              <w:numPr>
                <w:ilvl w:val="0"/>
                <w:numId w:val="9"/>
              </w:numPr>
              <w:spacing w:after="60"/>
              <w:ind w:left="414" w:hanging="414"/>
              <w:rPr>
                <w:rFonts w:ascii="Source Sans Pro Regular" w:hAnsi="Source Sans Pro Regular"/>
                <w:color w:val="898D8D"/>
                <w:sz w:val="20"/>
                <w:szCs w:val="20"/>
              </w:rPr>
            </w:pPr>
            <w:r w:rsidRPr="001612CF">
              <w:rPr>
                <w:rFonts w:ascii="Source Sans Pro Regular" w:hAnsi="Source Sans Pro Regular"/>
                <w:color w:val="898D8D"/>
                <w:sz w:val="20"/>
                <w:szCs w:val="20"/>
              </w:rPr>
              <w:t>Entre 2000 y 2016 esta tasa pasó de 59 a 28</w:t>
            </w:r>
            <w:r w:rsidR="00D01701">
              <w:rPr>
                <w:rFonts w:ascii="Source Sans Pro Regular" w:hAnsi="Source Sans Pro Regular"/>
                <w:color w:val="898D8D"/>
                <w:sz w:val="20"/>
                <w:szCs w:val="20"/>
              </w:rPr>
              <w:t>.</w:t>
            </w:r>
          </w:p>
          <w:p w14:paraId="46EF419C" w14:textId="58C24FA2" w:rsidR="00F82798" w:rsidRPr="001612CF" w:rsidRDefault="000A63FB" w:rsidP="005D3531">
            <w:pPr>
              <w:pStyle w:val="Normal1"/>
              <w:numPr>
                <w:ilvl w:val="0"/>
                <w:numId w:val="9"/>
              </w:numPr>
              <w:spacing w:after="60"/>
              <w:ind w:left="414" w:hanging="414"/>
              <w:rPr>
                <w:rFonts w:ascii="Source Sans Pro Regular" w:hAnsi="Source Sans Pro Regular"/>
                <w:color w:val="898D8D"/>
                <w:sz w:val="20"/>
                <w:szCs w:val="20"/>
              </w:rPr>
            </w:pPr>
            <w:r w:rsidRPr="001612CF">
              <w:rPr>
                <w:rFonts w:ascii="Source Sans Pro Regular" w:hAnsi="Source Sans Pro Regular"/>
                <w:color w:val="898D8D"/>
                <w:sz w:val="20"/>
                <w:szCs w:val="20"/>
              </w:rPr>
              <w:t xml:space="preserve">Persisten desigualdades </w:t>
            </w:r>
            <w:r w:rsidR="005D3531">
              <w:rPr>
                <w:rFonts w:ascii="Source Sans Pro Regular" w:hAnsi="Source Sans Pro Regular"/>
                <w:color w:val="898D8D"/>
                <w:sz w:val="20"/>
                <w:szCs w:val="20"/>
              </w:rPr>
              <w:t xml:space="preserve">en la TMM </w:t>
            </w:r>
            <w:r w:rsidRPr="001612CF">
              <w:rPr>
                <w:rFonts w:ascii="Source Sans Pro Regular" w:hAnsi="Source Sans Pro Regular"/>
                <w:color w:val="898D8D"/>
                <w:sz w:val="20"/>
                <w:szCs w:val="20"/>
              </w:rPr>
              <w:t>entre alcaldías: Cuajimalpa y Miguel Hidalgo registran 68 muertes por cada 100,000 nacidos; en Benito Juárez y Venustiano Carranza no se registran decesos por esta causa (sin embargo, este resultado puede deberse a problemas de confiabilidad en la fuente).</w:t>
            </w:r>
          </w:p>
        </w:tc>
        <w:tc>
          <w:tcPr>
            <w:tcW w:w="3117" w:type="dxa"/>
          </w:tcPr>
          <w:p w14:paraId="63B4D988" w14:textId="77777777" w:rsidR="00F82798" w:rsidRPr="001612CF" w:rsidRDefault="00F82798">
            <w:pPr>
              <w:pStyle w:val="Normal1"/>
              <w:rPr>
                <w:rFonts w:ascii="Source Sans Pro Regular" w:hAnsi="Source Sans Pro Regular"/>
                <w:color w:val="898D8D"/>
                <w:sz w:val="20"/>
                <w:szCs w:val="20"/>
              </w:rPr>
            </w:pPr>
          </w:p>
        </w:tc>
      </w:tr>
      <w:tr w:rsidR="00F82798" w:rsidRPr="002C0FBF" w14:paraId="005FBBB4" w14:textId="77777777" w:rsidTr="004D43EE">
        <w:tc>
          <w:tcPr>
            <w:tcW w:w="2174" w:type="dxa"/>
          </w:tcPr>
          <w:p w14:paraId="1D17A4C8" w14:textId="77777777" w:rsidR="00F82798" w:rsidRPr="001612CF" w:rsidRDefault="000A63FB">
            <w:pPr>
              <w:pStyle w:val="Normal1"/>
              <w:rPr>
                <w:rFonts w:ascii="Source Sans Pro Regular" w:hAnsi="Source Sans Pro Regular"/>
                <w:b/>
                <w:color w:val="898D8D"/>
                <w:sz w:val="20"/>
                <w:szCs w:val="20"/>
              </w:rPr>
            </w:pPr>
            <w:r w:rsidRPr="001612CF">
              <w:rPr>
                <w:rFonts w:ascii="Source Sans Pro Regular" w:hAnsi="Source Sans Pro Regular"/>
                <w:b/>
                <w:color w:val="898D8D"/>
                <w:sz w:val="20"/>
                <w:szCs w:val="20"/>
              </w:rPr>
              <w:t>Tasa de mortalidad infantil</w:t>
            </w:r>
          </w:p>
          <w:p w14:paraId="2F193EA3" w14:textId="77777777" w:rsidR="00F82798" w:rsidRPr="001612CF" w:rsidRDefault="00F82798">
            <w:pPr>
              <w:pStyle w:val="Normal1"/>
              <w:rPr>
                <w:rFonts w:ascii="Source Sans Pro Regular" w:hAnsi="Source Sans Pro Regular"/>
                <w:b/>
                <w:color w:val="898D8D"/>
                <w:sz w:val="20"/>
                <w:szCs w:val="20"/>
              </w:rPr>
            </w:pPr>
          </w:p>
          <w:p w14:paraId="7684AC9B" w14:textId="77777777" w:rsidR="00F82798" w:rsidRPr="001612CF" w:rsidRDefault="000A63FB">
            <w:pPr>
              <w:pStyle w:val="Normal1"/>
              <w:rPr>
                <w:rFonts w:ascii="Source Sans Pro Regular" w:hAnsi="Source Sans Pro Regular"/>
                <w:color w:val="898D8D"/>
                <w:sz w:val="20"/>
                <w:szCs w:val="20"/>
              </w:rPr>
            </w:pPr>
            <w:r w:rsidRPr="001612CF">
              <w:rPr>
                <w:rFonts w:ascii="Source Sans Pro Regular" w:hAnsi="Source Sans Pro Regular"/>
                <w:color w:val="898D8D"/>
                <w:sz w:val="20"/>
                <w:szCs w:val="20"/>
              </w:rPr>
              <w:t xml:space="preserve">Fuentes: Diagnóstico (gráfica 5.2), e </w:t>
            </w:r>
            <w:r w:rsidRPr="009676CB">
              <w:rPr>
                <w:rFonts w:ascii="Source Sans Pro Regular" w:hAnsi="Source Sans Pro Regular"/>
                <w:i/>
                <w:color w:val="898D8D"/>
                <w:sz w:val="20"/>
                <w:szCs w:val="20"/>
              </w:rPr>
              <w:t>Infancias en la Ciudad de México 2020</w:t>
            </w:r>
            <w:r w:rsidRPr="001612CF">
              <w:rPr>
                <w:rFonts w:ascii="Source Sans Pro Regular" w:hAnsi="Source Sans Pro Regular"/>
                <w:color w:val="898D8D"/>
                <w:sz w:val="20"/>
                <w:szCs w:val="20"/>
              </w:rPr>
              <w:t xml:space="preserve"> (gráfica 29)</w:t>
            </w:r>
          </w:p>
        </w:tc>
        <w:tc>
          <w:tcPr>
            <w:tcW w:w="4821" w:type="dxa"/>
          </w:tcPr>
          <w:p w14:paraId="5ADEBBC1" w14:textId="3A199844" w:rsidR="00F82798" w:rsidRPr="001612CF" w:rsidRDefault="000A63FB" w:rsidP="00686A1B">
            <w:pPr>
              <w:pStyle w:val="Normal1"/>
              <w:numPr>
                <w:ilvl w:val="0"/>
                <w:numId w:val="9"/>
              </w:numPr>
              <w:spacing w:after="60"/>
              <w:ind w:left="414" w:hanging="414"/>
              <w:rPr>
                <w:rFonts w:ascii="Source Sans Pro Regular" w:hAnsi="Source Sans Pro Regular"/>
                <w:color w:val="898D8D"/>
                <w:sz w:val="20"/>
                <w:szCs w:val="20"/>
              </w:rPr>
            </w:pPr>
            <w:r w:rsidRPr="001612CF">
              <w:rPr>
                <w:rFonts w:ascii="Source Sans Pro Regular" w:hAnsi="Source Sans Pro Regular"/>
                <w:color w:val="898D8D"/>
                <w:sz w:val="20"/>
                <w:szCs w:val="20"/>
              </w:rPr>
              <w:t xml:space="preserve">En 2016, la tasa de mortalidad infantil (TMI, decesos de </w:t>
            </w:r>
            <w:r w:rsidR="00CD3ABB">
              <w:rPr>
                <w:rFonts w:ascii="Source Sans Pro Regular" w:hAnsi="Source Sans Pro Regular"/>
                <w:color w:val="898D8D"/>
                <w:sz w:val="20"/>
                <w:szCs w:val="20"/>
              </w:rPr>
              <w:t>niños y niñas q</w:t>
            </w:r>
            <w:r w:rsidRPr="001612CF">
              <w:rPr>
                <w:rFonts w:ascii="Source Sans Pro Regular" w:hAnsi="Source Sans Pro Regular"/>
                <w:color w:val="898D8D"/>
                <w:sz w:val="20"/>
                <w:szCs w:val="20"/>
              </w:rPr>
              <w:t xml:space="preserve">ue no han cumplido el primer año de vida por cada 1,000 nacimientos en el mismo periodo) es 12. </w:t>
            </w:r>
          </w:p>
          <w:p w14:paraId="002E62C5" w14:textId="15AFA9BE" w:rsidR="00B94D71" w:rsidRDefault="000A63FB" w:rsidP="00686A1B">
            <w:pPr>
              <w:pStyle w:val="Normal1"/>
              <w:numPr>
                <w:ilvl w:val="0"/>
                <w:numId w:val="9"/>
              </w:numPr>
              <w:spacing w:after="60"/>
              <w:ind w:left="414" w:hanging="414"/>
              <w:rPr>
                <w:rFonts w:ascii="Source Sans Pro Regular" w:hAnsi="Source Sans Pro Regular"/>
                <w:color w:val="898D8D"/>
                <w:sz w:val="20"/>
                <w:szCs w:val="20"/>
              </w:rPr>
            </w:pPr>
            <w:r w:rsidRPr="001612CF">
              <w:rPr>
                <w:rFonts w:ascii="Source Sans Pro Regular" w:hAnsi="Source Sans Pro Regular"/>
                <w:color w:val="898D8D"/>
                <w:sz w:val="20"/>
                <w:szCs w:val="20"/>
              </w:rPr>
              <w:t>Existe una diferencia notoria entre las alcaldías Benito Juárez</w:t>
            </w:r>
            <w:r w:rsidR="00CD3ABB">
              <w:rPr>
                <w:rFonts w:ascii="Source Sans Pro Regular" w:hAnsi="Source Sans Pro Regular"/>
                <w:color w:val="898D8D"/>
                <w:sz w:val="20"/>
                <w:szCs w:val="20"/>
              </w:rPr>
              <w:t xml:space="preserve"> (c</w:t>
            </w:r>
            <w:r w:rsidRPr="001612CF">
              <w:rPr>
                <w:rFonts w:ascii="Source Sans Pro Regular" w:hAnsi="Source Sans Pro Regular"/>
                <w:color w:val="898D8D"/>
                <w:sz w:val="20"/>
                <w:szCs w:val="20"/>
              </w:rPr>
              <w:t>on una TMI de 7 muertes por cada 1,000 nacimientos</w:t>
            </w:r>
            <w:r w:rsidR="00CD3ABB">
              <w:rPr>
                <w:rFonts w:ascii="Source Sans Pro Regular" w:hAnsi="Source Sans Pro Regular"/>
                <w:color w:val="898D8D"/>
                <w:sz w:val="20"/>
                <w:szCs w:val="20"/>
              </w:rPr>
              <w:t>)</w:t>
            </w:r>
            <w:r w:rsidRPr="001612CF">
              <w:rPr>
                <w:rFonts w:ascii="Source Sans Pro Regular" w:hAnsi="Source Sans Pro Regular"/>
                <w:color w:val="898D8D"/>
                <w:sz w:val="20"/>
                <w:szCs w:val="20"/>
              </w:rPr>
              <w:t xml:space="preserve"> y Milpa Alta, cuya TMI es 18. Las alcaldías que registran tasas superiores al promedio </w:t>
            </w:r>
            <w:r w:rsidR="00CD3ABB">
              <w:rPr>
                <w:rFonts w:ascii="Source Sans Pro Regular" w:hAnsi="Source Sans Pro Regular"/>
                <w:color w:val="898D8D"/>
                <w:sz w:val="20"/>
                <w:szCs w:val="20"/>
              </w:rPr>
              <w:t xml:space="preserve">capitalino </w:t>
            </w:r>
            <w:r w:rsidRPr="001612CF">
              <w:rPr>
                <w:rFonts w:ascii="Source Sans Pro Regular" w:hAnsi="Source Sans Pro Regular"/>
                <w:color w:val="898D8D"/>
                <w:sz w:val="20"/>
                <w:szCs w:val="20"/>
              </w:rPr>
              <w:t>son Cuauhtémoc (16),  Miguel Hidalgo (16), Venustiano Carranza (14) e Iztapalapa (13).</w:t>
            </w:r>
          </w:p>
          <w:p w14:paraId="023A7C3F" w14:textId="32C1B17F" w:rsidR="00F82798" w:rsidRPr="00B94D71" w:rsidRDefault="000A63FB" w:rsidP="00686A1B">
            <w:pPr>
              <w:pStyle w:val="Normal1"/>
              <w:numPr>
                <w:ilvl w:val="0"/>
                <w:numId w:val="9"/>
              </w:numPr>
              <w:spacing w:after="60"/>
              <w:ind w:left="414" w:hanging="414"/>
              <w:rPr>
                <w:rFonts w:ascii="Source Sans Pro Regular" w:hAnsi="Source Sans Pro Regular"/>
                <w:color w:val="898D8D"/>
                <w:sz w:val="20"/>
                <w:szCs w:val="20"/>
              </w:rPr>
            </w:pPr>
            <w:r w:rsidRPr="00B94D71">
              <w:rPr>
                <w:rFonts w:ascii="Source Sans Pro Regular" w:hAnsi="Source Sans Pro Regular"/>
                <w:color w:val="898D8D"/>
                <w:sz w:val="20"/>
                <w:szCs w:val="20"/>
              </w:rPr>
              <w:t>En 2016, las TMI promedio de otras ciudades seleccionadas de América Latina son:</w:t>
            </w:r>
          </w:p>
          <w:p w14:paraId="18BD38C2" w14:textId="77777777" w:rsidR="00F82798" w:rsidRPr="001612CF" w:rsidRDefault="000A63FB" w:rsidP="00686A1B">
            <w:pPr>
              <w:pStyle w:val="Normal1"/>
              <w:numPr>
                <w:ilvl w:val="0"/>
                <w:numId w:val="8"/>
              </w:numPr>
              <w:ind w:left="714" w:hanging="357"/>
              <w:rPr>
                <w:rFonts w:ascii="Source Sans Pro Regular" w:hAnsi="Source Sans Pro Regular"/>
                <w:color w:val="898D8D"/>
                <w:sz w:val="20"/>
                <w:szCs w:val="20"/>
              </w:rPr>
            </w:pPr>
            <w:r w:rsidRPr="001612CF">
              <w:rPr>
                <w:rFonts w:ascii="Source Sans Pro Regular" w:hAnsi="Source Sans Pro Regular"/>
                <w:color w:val="898D8D"/>
                <w:sz w:val="20"/>
                <w:szCs w:val="20"/>
              </w:rPr>
              <w:lastRenderedPageBreak/>
              <w:t>Región metropolitana de Santiago de Chile: 6.7 fallecimientos por cada 1,000 nacimientos vivos</w:t>
            </w:r>
          </w:p>
          <w:p w14:paraId="2E3722FA" w14:textId="77777777" w:rsidR="00F82798" w:rsidRPr="001612CF" w:rsidRDefault="000A63FB" w:rsidP="00686A1B">
            <w:pPr>
              <w:pStyle w:val="Normal1"/>
              <w:numPr>
                <w:ilvl w:val="0"/>
                <w:numId w:val="8"/>
              </w:numPr>
              <w:ind w:left="714" w:hanging="357"/>
              <w:rPr>
                <w:rFonts w:ascii="Source Sans Pro Regular" w:hAnsi="Source Sans Pro Regular"/>
                <w:color w:val="898D8D"/>
                <w:sz w:val="20"/>
                <w:szCs w:val="20"/>
              </w:rPr>
            </w:pPr>
            <w:r w:rsidRPr="001612CF">
              <w:rPr>
                <w:rFonts w:ascii="Source Sans Pro Regular" w:hAnsi="Source Sans Pro Regular"/>
                <w:color w:val="898D8D"/>
                <w:sz w:val="20"/>
                <w:szCs w:val="20"/>
              </w:rPr>
              <w:t>Ciudad Autónoma de Buenos Aires: 7.5</w:t>
            </w:r>
          </w:p>
          <w:p w14:paraId="144599A7" w14:textId="77777777" w:rsidR="00F82798" w:rsidRPr="001612CF" w:rsidRDefault="000A63FB" w:rsidP="00686A1B">
            <w:pPr>
              <w:pStyle w:val="Normal1"/>
              <w:numPr>
                <w:ilvl w:val="0"/>
                <w:numId w:val="8"/>
              </w:numPr>
              <w:ind w:left="714" w:hanging="357"/>
              <w:rPr>
                <w:rFonts w:ascii="Source Sans Pro Regular" w:hAnsi="Source Sans Pro Regular"/>
                <w:color w:val="898D8D"/>
                <w:sz w:val="20"/>
                <w:szCs w:val="20"/>
              </w:rPr>
            </w:pPr>
            <w:r w:rsidRPr="001612CF">
              <w:rPr>
                <w:rFonts w:ascii="Source Sans Pro Regular" w:hAnsi="Source Sans Pro Regular"/>
                <w:color w:val="898D8D"/>
                <w:sz w:val="20"/>
                <w:szCs w:val="20"/>
              </w:rPr>
              <w:t>Buenos Aires: 9.9</w:t>
            </w:r>
          </w:p>
          <w:p w14:paraId="4D24646C" w14:textId="77777777" w:rsidR="00F82798" w:rsidRPr="001612CF" w:rsidRDefault="000A63FB" w:rsidP="00686A1B">
            <w:pPr>
              <w:pStyle w:val="Normal1"/>
              <w:numPr>
                <w:ilvl w:val="0"/>
                <w:numId w:val="8"/>
              </w:numPr>
              <w:ind w:left="714" w:hanging="357"/>
              <w:rPr>
                <w:rFonts w:ascii="Source Sans Pro Regular" w:hAnsi="Source Sans Pro Regular"/>
                <w:color w:val="898D8D"/>
                <w:sz w:val="20"/>
                <w:szCs w:val="20"/>
              </w:rPr>
            </w:pPr>
            <w:r w:rsidRPr="001612CF">
              <w:rPr>
                <w:rFonts w:ascii="Source Sans Pro Regular" w:hAnsi="Source Sans Pro Regular"/>
                <w:color w:val="898D8D"/>
                <w:sz w:val="20"/>
                <w:szCs w:val="20"/>
              </w:rPr>
              <w:t>Sao Paulo: 9.9</w:t>
            </w:r>
          </w:p>
          <w:p w14:paraId="082D6B63" w14:textId="77777777" w:rsidR="00F82798" w:rsidRPr="001612CF" w:rsidRDefault="000A63FB" w:rsidP="00686A1B">
            <w:pPr>
              <w:pStyle w:val="Normal1"/>
              <w:numPr>
                <w:ilvl w:val="0"/>
                <w:numId w:val="8"/>
              </w:numPr>
              <w:ind w:left="714" w:hanging="357"/>
              <w:rPr>
                <w:rFonts w:ascii="Source Sans Pro Regular" w:hAnsi="Source Sans Pro Regular"/>
                <w:color w:val="898D8D"/>
                <w:sz w:val="20"/>
                <w:szCs w:val="20"/>
              </w:rPr>
            </w:pPr>
            <w:r w:rsidRPr="001612CF">
              <w:rPr>
                <w:rFonts w:ascii="Source Sans Pro Regular" w:hAnsi="Source Sans Pro Regular"/>
                <w:color w:val="898D8D"/>
                <w:sz w:val="20"/>
                <w:szCs w:val="20"/>
              </w:rPr>
              <w:t>Río de Janeiro: 11.5</w:t>
            </w:r>
          </w:p>
          <w:p w14:paraId="517D7ADF" w14:textId="77777777" w:rsidR="00F82798" w:rsidRPr="001612CF" w:rsidRDefault="000A63FB" w:rsidP="00686A1B">
            <w:pPr>
              <w:pStyle w:val="Normal1"/>
              <w:numPr>
                <w:ilvl w:val="0"/>
                <w:numId w:val="8"/>
              </w:numPr>
              <w:ind w:left="714" w:hanging="357"/>
              <w:rPr>
                <w:rFonts w:ascii="Source Sans Pro Regular" w:hAnsi="Source Sans Pro Regular"/>
                <w:color w:val="898D8D"/>
                <w:sz w:val="20"/>
                <w:szCs w:val="20"/>
              </w:rPr>
            </w:pPr>
            <w:r w:rsidRPr="001612CF">
              <w:rPr>
                <w:rFonts w:ascii="Source Sans Pro Regular" w:hAnsi="Source Sans Pro Regular"/>
                <w:color w:val="898D8D"/>
                <w:sz w:val="20"/>
                <w:szCs w:val="20"/>
              </w:rPr>
              <w:t>Bogotá, D.C.: 11.6</w:t>
            </w:r>
          </w:p>
        </w:tc>
        <w:tc>
          <w:tcPr>
            <w:tcW w:w="3117" w:type="dxa"/>
          </w:tcPr>
          <w:p w14:paraId="55DFA8E8" w14:textId="77777777" w:rsidR="00F82798" w:rsidRPr="001612CF" w:rsidRDefault="00F82798">
            <w:pPr>
              <w:pStyle w:val="Normal1"/>
              <w:rPr>
                <w:rFonts w:ascii="Source Sans Pro Regular" w:hAnsi="Source Sans Pro Regular"/>
                <w:color w:val="898D8D"/>
                <w:sz w:val="20"/>
                <w:szCs w:val="20"/>
              </w:rPr>
            </w:pPr>
          </w:p>
        </w:tc>
      </w:tr>
      <w:tr w:rsidR="00F82798" w:rsidRPr="002C0FBF" w14:paraId="5D714704" w14:textId="77777777" w:rsidTr="004D43EE">
        <w:tc>
          <w:tcPr>
            <w:tcW w:w="2174" w:type="dxa"/>
          </w:tcPr>
          <w:p w14:paraId="73B09FAF" w14:textId="77777777" w:rsidR="00F82798" w:rsidRPr="008D3CAE" w:rsidRDefault="000A63FB">
            <w:pPr>
              <w:pStyle w:val="Normal1"/>
              <w:rPr>
                <w:rFonts w:ascii="Source Sans Pro Regular" w:hAnsi="Source Sans Pro Regular"/>
                <w:color w:val="898D8D"/>
                <w:sz w:val="20"/>
                <w:szCs w:val="20"/>
              </w:rPr>
            </w:pPr>
            <w:r w:rsidRPr="008D3CAE">
              <w:rPr>
                <w:rFonts w:ascii="Source Sans Pro Regular" w:hAnsi="Source Sans Pro Regular"/>
                <w:b/>
                <w:color w:val="898D8D"/>
                <w:sz w:val="20"/>
                <w:szCs w:val="20"/>
              </w:rPr>
              <w:t>Suicidios</w:t>
            </w:r>
            <w:r w:rsidRPr="008D3CAE">
              <w:rPr>
                <w:rFonts w:ascii="Source Sans Pro Regular" w:hAnsi="Source Sans Pro Regular"/>
                <w:color w:val="898D8D"/>
                <w:sz w:val="20"/>
                <w:szCs w:val="20"/>
              </w:rPr>
              <w:t xml:space="preserve"> </w:t>
            </w:r>
          </w:p>
          <w:p w14:paraId="59EAFEBA" w14:textId="77777777" w:rsidR="00F82798" w:rsidRPr="008D3CAE" w:rsidRDefault="000A63FB">
            <w:pPr>
              <w:pStyle w:val="Normal1"/>
              <w:rPr>
                <w:rFonts w:ascii="Source Sans Pro Regular" w:hAnsi="Source Sans Pro Regular"/>
                <w:color w:val="898D8D"/>
                <w:sz w:val="20"/>
                <w:szCs w:val="20"/>
              </w:rPr>
            </w:pPr>
            <w:r w:rsidRPr="008D3CAE">
              <w:rPr>
                <w:rFonts w:ascii="Source Sans Pro Regular" w:hAnsi="Source Sans Pro Regular"/>
                <w:color w:val="898D8D"/>
                <w:sz w:val="20"/>
                <w:szCs w:val="20"/>
              </w:rPr>
              <w:t>Fuentes: Diagnóstico (gráfica 5.5)</w:t>
            </w:r>
          </w:p>
        </w:tc>
        <w:tc>
          <w:tcPr>
            <w:tcW w:w="4821" w:type="dxa"/>
          </w:tcPr>
          <w:p w14:paraId="273AFB11" w14:textId="77777777" w:rsidR="00F82798" w:rsidRPr="008D3CAE" w:rsidRDefault="000A63FB" w:rsidP="00E619A2">
            <w:pPr>
              <w:pStyle w:val="Normal1"/>
              <w:numPr>
                <w:ilvl w:val="0"/>
                <w:numId w:val="9"/>
              </w:numPr>
              <w:spacing w:after="60"/>
              <w:ind w:left="414" w:hanging="414"/>
              <w:rPr>
                <w:rFonts w:ascii="Source Sans Pro Regular" w:hAnsi="Source Sans Pro Regular"/>
                <w:color w:val="898D8D"/>
                <w:sz w:val="20"/>
                <w:szCs w:val="20"/>
              </w:rPr>
            </w:pPr>
            <w:r w:rsidRPr="008D3CAE">
              <w:rPr>
                <w:rFonts w:ascii="Source Sans Pro Regular" w:hAnsi="Source Sans Pro Regular"/>
                <w:color w:val="898D8D"/>
                <w:sz w:val="20"/>
                <w:szCs w:val="20"/>
              </w:rPr>
              <w:t xml:space="preserve">En 2017, hubo 302 suicidios en la Ciudad. </w:t>
            </w:r>
          </w:p>
          <w:p w14:paraId="1CBE7852" w14:textId="77777777" w:rsidR="00F82798" w:rsidRPr="008D3CAE" w:rsidRDefault="000A63FB" w:rsidP="00E619A2">
            <w:pPr>
              <w:pStyle w:val="Normal1"/>
              <w:numPr>
                <w:ilvl w:val="0"/>
                <w:numId w:val="9"/>
              </w:numPr>
              <w:spacing w:after="60"/>
              <w:ind w:left="414" w:hanging="414"/>
              <w:rPr>
                <w:rFonts w:ascii="Source Sans Pro Regular" w:hAnsi="Source Sans Pro Regular"/>
                <w:color w:val="898D8D"/>
                <w:sz w:val="20"/>
                <w:szCs w:val="20"/>
              </w:rPr>
            </w:pPr>
            <w:r w:rsidRPr="008D3CAE">
              <w:rPr>
                <w:rFonts w:ascii="Source Sans Pro Regular" w:hAnsi="Source Sans Pro Regular"/>
                <w:color w:val="898D8D"/>
                <w:sz w:val="20"/>
                <w:szCs w:val="20"/>
              </w:rPr>
              <w:t xml:space="preserve">Por cada 4 muertes por suicidio, 3 correspondieron a hombres y 1 a mujeres. </w:t>
            </w:r>
          </w:p>
          <w:p w14:paraId="521A9DA8" w14:textId="43DB9C05" w:rsidR="00F82798" w:rsidRPr="008D3CAE" w:rsidRDefault="000A63FB" w:rsidP="00E619A2">
            <w:pPr>
              <w:pStyle w:val="Normal1"/>
              <w:numPr>
                <w:ilvl w:val="0"/>
                <w:numId w:val="9"/>
              </w:numPr>
              <w:spacing w:after="60"/>
              <w:ind w:left="414" w:hanging="414"/>
              <w:rPr>
                <w:rFonts w:ascii="Source Sans Pro Regular" w:hAnsi="Source Sans Pro Regular"/>
                <w:color w:val="898D8D"/>
                <w:sz w:val="20"/>
                <w:szCs w:val="20"/>
              </w:rPr>
            </w:pPr>
            <w:r w:rsidRPr="008D3CAE">
              <w:rPr>
                <w:rFonts w:ascii="Source Sans Pro Regular" w:hAnsi="Source Sans Pro Regular"/>
                <w:color w:val="898D8D"/>
                <w:sz w:val="20"/>
                <w:szCs w:val="20"/>
              </w:rPr>
              <w:t>La probabilidad de las muertes por suicidio es más elevada en el rango entre 15 y 34</w:t>
            </w:r>
            <w:r w:rsidR="00FE299A">
              <w:rPr>
                <w:rFonts w:ascii="Source Sans Pro Regular" w:hAnsi="Source Sans Pro Regular"/>
                <w:color w:val="898D8D"/>
                <w:sz w:val="20"/>
                <w:szCs w:val="20"/>
              </w:rPr>
              <w:t xml:space="preserve"> años</w:t>
            </w:r>
            <w:r w:rsidRPr="008D3CAE">
              <w:rPr>
                <w:rFonts w:ascii="Source Sans Pro Regular" w:hAnsi="Source Sans Pro Regular"/>
                <w:color w:val="898D8D"/>
                <w:sz w:val="20"/>
                <w:szCs w:val="20"/>
              </w:rPr>
              <w:t>.</w:t>
            </w:r>
          </w:p>
        </w:tc>
        <w:tc>
          <w:tcPr>
            <w:tcW w:w="3117" w:type="dxa"/>
          </w:tcPr>
          <w:p w14:paraId="621F14E4" w14:textId="77777777" w:rsidR="00F82798" w:rsidRPr="008D3CAE" w:rsidRDefault="00F82798">
            <w:pPr>
              <w:pStyle w:val="Normal1"/>
              <w:rPr>
                <w:rFonts w:ascii="Source Sans Pro Regular" w:hAnsi="Source Sans Pro Regular"/>
                <w:color w:val="898D8D"/>
                <w:sz w:val="20"/>
                <w:szCs w:val="20"/>
              </w:rPr>
            </w:pPr>
          </w:p>
        </w:tc>
      </w:tr>
      <w:tr w:rsidR="00F82798" w:rsidRPr="002C0FBF" w14:paraId="3552AF27" w14:textId="77777777" w:rsidTr="004D43EE">
        <w:tc>
          <w:tcPr>
            <w:tcW w:w="2174" w:type="dxa"/>
          </w:tcPr>
          <w:p w14:paraId="5DBE5CA3" w14:textId="77777777" w:rsidR="00F82798" w:rsidRPr="008D3CAE" w:rsidRDefault="000A63FB">
            <w:pPr>
              <w:pStyle w:val="Normal1"/>
              <w:rPr>
                <w:rFonts w:ascii="Source Sans Pro Regular" w:hAnsi="Source Sans Pro Regular"/>
                <w:b/>
                <w:color w:val="898D8D"/>
                <w:sz w:val="20"/>
                <w:szCs w:val="20"/>
              </w:rPr>
            </w:pPr>
            <w:r w:rsidRPr="008D3CAE">
              <w:rPr>
                <w:rFonts w:ascii="Source Sans Pro Regular" w:hAnsi="Source Sans Pro Regular"/>
                <w:b/>
                <w:color w:val="898D8D"/>
                <w:sz w:val="20"/>
                <w:szCs w:val="20"/>
              </w:rPr>
              <w:t xml:space="preserve">Unidades médicas de atención primaria en las alcaldías </w:t>
            </w:r>
          </w:p>
          <w:p w14:paraId="6AF4C08A" w14:textId="77777777" w:rsidR="00F82798" w:rsidRPr="008D3CAE" w:rsidRDefault="00F82798">
            <w:pPr>
              <w:pStyle w:val="Normal1"/>
              <w:rPr>
                <w:rFonts w:ascii="Source Sans Pro Regular" w:hAnsi="Source Sans Pro Regular"/>
                <w:color w:val="898D8D"/>
                <w:sz w:val="20"/>
                <w:szCs w:val="20"/>
              </w:rPr>
            </w:pPr>
          </w:p>
          <w:p w14:paraId="4A8B5A7B" w14:textId="77777777" w:rsidR="00F82798" w:rsidRPr="008D3CAE" w:rsidRDefault="000A63FB">
            <w:pPr>
              <w:pStyle w:val="Normal1"/>
              <w:rPr>
                <w:rFonts w:ascii="Source Sans Pro Regular" w:hAnsi="Source Sans Pro Regular"/>
                <w:color w:val="898D8D"/>
                <w:sz w:val="20"/>
                <w:szCs w:val="20"/>
              </w:rPr>
            </w:pPr>
            <w:r w:rsidRPr="008D3CAE">
              <w:rPr>
                <w:rFonts w:ascii="Source Sans Pro Regular" w:hAnsi="Source Sans Pro Regular"/>
                <w:color w:val="898D8D"/>
                <w:sz w:val="20"/>
                <w:szCs w:val="20"/>
              </w:rPr>
              <w:t>Fuentes: Diagnóstico (p. 218, cuadro 5.3)</w:t>
            </w:r>
          </w:p>
        </w:tc>
        <w:tc>
          <w:tcPr>
            <w:tcW w:w="4821" w:type="dxa"/>
          </w:tcPr>
          <w:p w14:paraId="24896154" w14:textId="5F86FEBA" w:rsidR="00F82798" w:rsidRPr="008D3CAE" w:rsidRDefault="000A63FB" w:rsidP="0097438F">
            <w:pPr>
              <w:pStyle w:val="Normal1"/>
              <w:numPr>
                <w:ilvl w:val="0"/>
                <w:numId w:val="9"/>
              </w:numPr>
              <w:spacing w:after="60"/>
              <w:ind w:left="414" w:hanging="414"/>
              <w:rPr>
                <w:rFonts w:ascii="Source Sans Pro Regular" w:hAnsi="Source Sans Pro Regular"/>
                <w:color w:val="898D8D"/>
                <w:sz w:val="20"/>
                <w:szCs w:val="20"/>
              </w:rPr>
            </w:pPr>
            <w:r w:rsidRPr="001E5DA3">
              <w:rPr>
                <w:rFonts w:ascii="Source Sans Pro Regular" w:hAnsi="Source Sans Pro Regular"/>
                <w:color w:val="898D8D"/>
                <w:sz w:val="20"/>
                <w:szCs w:val="20"/>
              </w:rPr>
              <w:t xml:space="preserve">En </w:t>
            </w:r>
            <w:r w:rsidR="0097438F">
              <w:rPr>
                <w:rFonts w:ascii="Source Sans Pro Regular" w:hAnsi="Source Sans Pro Regular"/>
                <w:color w:val="898D8D"/>
                <w:sz w:val="20"/>
                <w:szCs w:val="20"/>
              </w:rPr>
              <w:t>la Ciudad (</w:t>
            </w:r>
            <w:r w:rsidRPr="001E5DA3">
              <w:rPr>
                <w:rFonts w:ascii="Source Sans Pro Regular" w:hAnsi="Source Sans Pro Regular"/>
                <w:color w:val="898D8D"/>
                <w:sz w:val="20"/>
                <w:szCs w:val="20"/>
              </w:rPr>
              <w:t>2019</w:t>
            </w:r>
            <w:r w:rsidR="0097438F">
              <w:rPr>
                <w:rFonts w:ascii="Source Sans Pro Regular" w:hAnsi="Source Sans Pro Regular"/>
                <w:color w:val="898D8D"/>
                <w:sz w:val="20"/>
                <w:szCs w:val="20"/>
              </w:rPr>
              <w:t>)</w:t>
            </w:r>
            <w:r w:rsidR="001E5DA3" w:rsidRPr="001E5DA3">
              <w:rPr>
                <w:rFonts w:ascii="Source Sans Pro Regular" w:hAnsi="Source Sans Pro Regular"/>
                <w:color w:val="898D8D"/>
                <w:sz w:val="20"/>
                <w:szCs w:val="20"/>
              </w:rPr>
              <w:t xml:space="preserve"> </w:t>
            </w:r>
            <w:r w:rsidR="001E5DA3">
              <w:rPr>
                <w:rFonts w:ascii="Source Sans Pro Regular" w:hAnsi="Source Sans Pro Regular"/>
                <w:color w:val="898D8D"/>
                <w:sz w:val="20"/>
                <w:szCs w:val="20"/>
              </w:rPr>
              <w:t>n</w:t>
            </w:r>
            <w:r w:rsidRPr="001E5DA3">
              <w:rPr>
                <w:rFonts w:ascii="Source Sans Pro Regular" w:hAnsi="Source Sans Pro Regular"/>
                <w:color w:val="898D8D"/>
                <w:sz w:val="20"/>
                <w:szCs w:val="20"/>
              </w:rPr>
              <w:t>o existen unidades médicas de primer nivel de atención del IMSS en Milpa Alta y en Xochi</w:t>
            </w:r>
            <w:r w:rsidR="001E5DA3">
              <w:rPr>
                <w:rFonts w:ascii="Source Sans Pro Regular" w:hAnsi="Source Sans Pro Regular"/>
                <w:color w:val="898D8D"/>
                <w:sz w:val="20"/>
                <w:szCs w:val="20"/>
              </w:rPr>
              <w:t>milco</w:t>
            </w:r>
            <w:r w:rsidR="0097438F">
              <w:rPr>
                <w:rFonts w:ascii="Source Sans Pro Regular" w:hAnsi="Source Sans Pro Regular"/>
                <w:color w:val="898D8D"/>
                <w:sz w:val="20"/>
                <w:szCs w:val="20"/>
              </w:rPr>
              <w:t xml:space="preserve">. Tampoco </w:t>
            </w:r>
            <w:r w:rsidRPr="008D3CAE">
              <w:rPr>
                <w:rFonts w:ascii="Source Sans Pro Regular" w:hAnsi="Source Sans Pro Regular"/>
                <w:color w:val="898D8D"/>
                <w:sz w:val="20"/>
                <w:szCs w:val="20"/>
              </w:rPr>
              <w:t>existen unidades médicas de atención de primer nivel del ISSSTE en Iztacalco, La Magdalena Contreras y Tláhuac.</w:t>
            </w:r>
          </w:p>
        </w:tc>
        <w:tc>
          <w:tcPr>
            <w:tcW w:w="3117" w:type="dxa"/>
          </w:tcPr>
          <w:p w14:paraId="4567AC88" w14:textId="77777777" w:rsidR="00F82798" w:rsidRPr="008D3CAE" w:rsidRDefault="00F82798">
            <w:pPr>
              <w:pStyle w:val="Normal1"/>
              <w:rPr>
                <w:rFonts w:ascii="Source Sans Pro Regular" w:hAnsi="Source Sans Pro Regular"/>
                <w:color w:val="898D8D"/>
                <w:sz w:val="20"/>
                <w:szCs w:val="20"/>
              </w:rPr>
            </w:pPr>
          </w:p>
        </w:tc>
      </w:tr>
      <w:tr w:rsidR="00F82798" w:rsidRPr="002C0FBF" w14:paraId="26E0FFDA" w14:textId="77777777" w:rsidTr="004D43EE">
        <w:tc>
          <w:tcPr>
            <w:tcW w:w="2174" w:type="dxa"/>
          </w:tcPr>
          <w:p w14:paraId="40164B87" w14:textId="77777777" w:rsidR="00F82798" w:rsidRPr="008D3CAE" w:rsidRDefault="000A63FB">
            <w:pPr>
              <w:pStyle w:val="Normal1"/>
              <w:rPr>
                <w:rFonts w:ascii="Source Sans Pro Regular" w:hAnsi="Source Sans Pro Regular"/>
                <w:b/>
                <w:color w:val="898D8D"/>
                <w:sz w:val="20"/>
                <w:szCs w:val="20"/>
              </w:rPr>
            </w:pPr>
            <w:r w:rsidRPr="008D3CAE">
              <w:rPr>
                <w:rFonts w:ascii="Source Sans Pro Regular" w:hAnsi="Source Sans Pro Regular"/>
                <w:b/>
                <w:color w:val="898D8D"/>
                <w:sz w:val="20"/>
                <w:szCs w:val="20"/>
              </w:rPr>
              <w:t>Habitantes por unidad médica</w:t>
            </w:r>
          </w:p>
          <w:p w14:paraId="325C4426" w14:textId="77777777" w:rsidR="00F82798" w:rsidRPr="008D3CAE" w:rsidRDefault="00F82798">
            <w:pPr>
              <w:pStyle w:val="Normal1"/>
              <w:rPr>
                <w:rFonts w:ascii="Source Sans Pro Regular" w:hAnsi="Source Sans Pro Regular"/>
                <w:color w:val="898D8D"/>
                <w:sz w:val="20"/>
                <w:szCs w:val="20"/>
              </w:rPr>
            </w:pPr>
          </w:p>
          <w:p w14:paraId="18AF31EF" w14:textId="77777777" w:rsidR="00F82798" w:rsidRPr="008D3CAE" w:rsidRDefault="000A63FB">
            <w:pPr>
              <w:pStyle w:val="Normal1"/>
              <w:rPr>
                <w:rFonts w:ascii="Source Sans Pro Regular" w:hAnsi="Source Sans Pro Regular"/>
                <w:color w:val="898D8D"/>
                <w:sz w:val="20"/>
                <w:szCs w:val="20"/>
              </w:rPr>
            </w:pPr>
            <w:r w:rsidRPr="008D3CAE">
              <w:rPr>
                <w:rFonts w:ascii="Source Sans Pro Regular" w:hAnsi="Source Sans Pro Regular"/>
                <w:color w:val="898D8D"/>
                <w:sz w:val="20"/>
                <w:szCs w:val="20"/>
              </w:rPr>
              <w:t xml:space="preserve">Fuentes: Diagnóstico (gráfica 5.9) </w:t>
            </w:r>
          </w:p>
        </w:tc>
        <w:tc>
          <w:tcPr>
            <w:tcW w:w="4821" w:type="dxa"/>
          </w:tcPr>
          <w:p w14:paraId="141B6648" w14:textId="6C7B0D5C" w:rsidR="00F82798" w:rsidRPr="008D3CAE" w:rsidRDefault="0097438F" w:rsidP="00FE299A">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 xml:space="preserve">Hay </w:t>
            </w:r>
            <w:r w:rsidR="000A63FB" w:rsidRPr="008D3CAE">
              <w:rPr>
                <w:rFonts w:ascii="Source Sans Pro Regular" w:hAnsi="Source Sans Pro Regular"/>
                <w:color w:val="898D8D"/>
                <w:sz w:val="20"/>
                <w:szCs w:val="20"/>
              </w:rPr>
              <w:t>16,485 habitantes por unidad médica de primer nivel del sector público</w:t>
            </w:r>
            <w:r>
              <w:rPr>
                <w:rFonts w:ascii="Source Sans Pro Regular" w:hAnsi="Source Sans Pro Regular"/>
                <w:color w:val="898D8D"/>
                <w:sz w:val="20"/>
                <w:szCs w:val="20"/>
              </w:rPr>
              <w:t xml:space="preserve"> (2019)</w:t>
            </w:r>
            <w:r w:rsidR="000A63FB" w:rsidRPr="008D3CAE">
              <w:rPr>
                <w:rFonts w:ascii="Source Sans Pro Regular" w:hAnsi="Source Sans Pro Regular"/>
                <w:color w:val="898D8D"/>
                <w:sz w:val="20"/>
                <w:szCs w:val="20"/>
              </w:rPr>
              <w:t>.</w:t>
            </w:r>
          </w:p>
          <w:p w14:paraId="64D2F852" w14:textId="47BC6B19" w:rsidR="00F82798" w:rsidRPr="008D3CAE" w:rsidRDefault="000A63FB" w:rsidP="00FE299A">
            <w:pPr>
              <w:pStyle w:val="Normal1"/>
              <w:numPr>
                <w:ilvl w:val="0"/>
                <w:numId w:val="9"/>
              </w:numPr>
              <w:spacing w:after="60"/>
              <w:ind w:left="414" w:hanging="414"/>
              <w:rPr>
                <w:rFonts w:ascii="Source Sans Pro Regular" w:hAnsi="Source Sans Pro Regular"/>
                <w:color w:val="898D8D"/>
                <w:sz w:val="20"/>
                <w:szCs w:val="20"/>
              </w:rPr>
            </w:pPr>
            <w:r w:rsidRPr="00C20CA3">
              <w:rPr>
                <w:rFonts w:ascii="Source Sans Pro Regular" w:hAnsi="Source Sans Pro Regular"/>
                <w:color w:val="898D8D"/>
                <w:sz w:val="20"/>
                <w:szCs w:val="20"/>
              </w:rPr>
              <w:t>8 de 16 alcaldías están por encima de ese promedio: Iztacalco</w:t>
            </w:r>
            <w:r w:rsidR="00C20CA3" w:rsidRPr="00C20CA3">
              <w:rPr>
                <w:rFonts w:ascii="Source Sans Pro Regular" w:hAnsi="Source Sans Pro Regular"/>
                <w:color w:val="898D8D"/>
                <w:sz w:val="20"/>
                <w:szCs w:val="20"/>
              </w:rPr>
              <w:t xml:space="preserve"> (</w:t>
            </w:r>
            <w:r w:rsidRPr="00C20CA3">
              <w:rPr>
                <w:rFonts w:ascii="Source Sans Pro Regular" w:hAnsi="Source Sans Pro Regular"/>
                <w:color w:val="898D8D"/>
                <w:sz w:val="20"/>
                <w:szCs w:val="20"/>
              </w:rPr>
              <w:t>32,529 habitantes / unidad médica de primer nivel del sector público</w:t>
            </w:r>
            <w:r w:rsidR="00C20CA3" w:rsidRPr="00C20CA3">
              <w:rPr>
                <w:rFonts w:ascii="Source Sans Pro Regular" w:hAnsi="Source Sans Pro Regular"/>
                <w:color w:val="898D8D"/>
                <w:sz w:val="20"/>
                <w:szCs w:val="20"/>
              </w:rPr>
              <w:t xml:space="preserve">); </w:t>
            </w:r>
            <w:r w:rsidRPr="00C20CA3">
              <w:rPr>
                <w:rFonts w:ascii="Source Sans Pro Regular" w:hAnsi="Source Sans Pro Regular"/>
                <w:color w:val="898D8D"/>
                <w:sz w:val="20"/>
                <w:szCs w:val="20"/>
              </w:rPr>
              <w:t>Iztapalapa</w:t>
            </w:r>
            <w:r w:rsidR="00C20CA3" w:rsidRPr="00C20CA3">
              <w:rPr>
                <w:rFonts w:ascii="Source Sans Pro Regular" w:hAnsi="Source Sans Pro Regular"/>
                <w:color w:val="898D8D"/>
                <w:sz w:val="20"/>
                <w:szCs w:val="20"/>
              </w:rPr>
              <w:t xml:space="preserve"> (</w:t>
            </w:r>
            <w:r w:rsidRPr="00C20CA3">
              <w:rPr>
                <w:rFonts w:ascii="Source Sans Pro Regular" w:hAnsi="Source Sans Pro Regular"/>
                <w:color w:val="898D8D"/>
                <w:sz w:val="20"/>
                <w:szCs w:val="20"/>
              </w:rPr>
              <w:t>28,121</w:t>
            </w:r>
            <w:r w:rsidR="00C20CA3" w:rsidRPr="00C20CA3">
              <w:rPr>
                <w:rFonts w:ascii="Source Sans Pro Regular" w:hAnsi="Source Sans Pro Regular"/>
                <w:color w:val="898D8D"/>
                <w:sz w:val="20"/>
                <w:szCs w:val="20"/>
              </w:rPr>
              <w:t xml:space="preserve">); </w:t>
            </w:r>
            <w:r w:rsidRPr="00C20CA3">
              <w:rPr>
                <w:rFonts w:ascii="Source Sans Pro Regular" w:hAnsi="Source Sans Pro Regular"/>
                <w:color w:val="898D8D"/>
                <w:sz w:val="20"/>
                <w:szCs w:val="20"/>
              </w:rPr>
              <w:t>Álvaro Obregón</w:t>
            </w:r>
            <w:r w:rsidR="00C20CA3" w:rsidRPr="00C20CA3">
              <w:rPr>
                <w:rFonts w:ascii="Source Sans Pro Regular" w:hAnsi="Source Sans Pro Regular"/>
                <w:color w:val="898D8D"/>
                <w:sz w:val="20"/>
                <w:szCs w:val="20"/>
              </w:rPr>
              <w:t xml:space="preserve"> (</w:t>
            </w:r>
            <w:r w:rsidRPr="00C20CA3">
              <w:rPr>
                <w:rFonts w:ascii="Source Sans Pro Regular" w:hAnsi="Source Sans Pro Regular"/>
                <w:color w:val="898D8D"/>
                <w:sz w:val="20"/>
                <w:szCs w:val="20"/>
              </w:rPr>
              <w:t>20,833</w:t>
            </w:r>
            <w:r w:rsidR="00C20CA3" w:rsidRPr="00C20CA3">
              <w:rPr>
                <w:rFonts w:ascii="Source Sans Pro Regular" w:hAnsi="Source Sans Pro Regular"/>
                <w:color w:val="898D8D"/>
                <w:sz w:val="20"/>
                <w:szCs w:val="20"/>
              </w:rPr>
              <w:t xml:space="preserve">); </w:t>
            </w:r>
            <w:r w:rsidRPr="00C20CA3">
              <w:rPr>
                <w:rFonts w:ascii="Source Sans Pro Regular" w:hAnsi="Source Sans Pro Regular"/>
                <w:color w:val="898D8D"/>
                <w:sz w:val="20"/>
                <w:szCs w:val="20"/>
              </w:rPr>
              <w:t>Coyoacán</w:t>
            </w:r>
            <w:r w:rsidR="00C20CA3" w:rsidRPr="00C20CA3">
              <w:rPr>
                <w:rFonts w:ascii="Source Sans Pro Regular" w:hAnsi="Source Sans Pro Regular"/>
                <w:color w:val="898D8D"/>
                <w:sz w:val="20"/>
                <w:szCs w:val="20"/>
              </w:rPr>
              <w:t xml:space="preserve"> (</w:t>
            </w:r>
            <w:r w:rsidRPr="00C20CA3">
              <w:rPr>
                <w:rFonts w:ascii="Source Sans Pro Regular" w:hAnsi="Source Sans Pro Regular"/>
                <w:color w:val="898D8D"/>
                <w:sz w:val="20"/>
                <w:szCs w:val="20"/>
              </w:rPr>
              <w:t>19,628</w:t>
            </w:r>
            <w:r w:rsidR="00C20CA3" w:rsidRPr="00C20CA3">
              <w:rPr>
                <w:rFonts w:ascii="Source Sans Pro Regular" w:hAnsi="Source Sans Pro Regular"/>
                <w:color w:val="898D8D"/>
                <w:sz w:val="20"/>
                <w:szCs w:val="20"/>
              </w:rPr>
              <w:t xml:space="preserve">); </w:t>
            </w:r>
            <w:r w:rsidRPr="00C20CA3">
              <w:rPr>
                <w:rFonts w:ascii="Source Sans Pro Regular" w:hAnsi="Source Sans Pro Regular"/>
                <w:color w:val="898D8D"/>
                <w:sz w:val="20"/>
                <w:szCs w:val="20"/>
              </w:rPr>
              <w:t>Xochimilco</w:t>
            </w:r>
            <w:r w:rsidR="00C20CA3" w:rsidRPr="00C20CA3">
              <w:rPr>
                <w:rFonts w:ascii="Source Sans Pro Regular" w:hAnsi="Source Sans Pro Regular"/>
                <w:color w:val="898D8D"/>
                <w:sz w:val="20"/>
                <w:szCs w:val="20"/>
              </w:rPr>
              <w:t xml:space="preserve"> (</w:t>
            </w:r>
            <w:r w:rsidRPr="00C20CA3">
              <w:rPr>
                <w:rFonts w:ascii="Source Sans Pro Regular" w:hAnsi="Source Sans Pro Regular"/>
                <w:color w:val="898D8D"/>
                <w:sz w:val="20"/>
                <w:szCs w:val="20"/>
              </w:rPr>
              <w:t>18,906</w:t>
            </w:r>
            <w:r w:rsidR="00C20CA3" w:rsidRPr="00C20CA3">
              <w:rPr>
                <w:rFonts w:ascii="Source Sans Pro Regular" w:hAnsi="Source Sans Pro Regular"/>
                <w:color w:val="898D8D"/>
                <w:sz w:val="20"/>
                <w:szCs w:val="20"/>
              </w:rPr>
              <w:t xml:space="preserve">); </w:t>
            </w:r>
            <w:r w:rsidRPr="00C20CA3">
              <w:rPr>
                <w:rFonts w:ascii="Source Sans Pro Regular" w:hAnsi="Source Sans Pro Regular"/>
                <w:color w:val="898D8D"/>
                <w:sz w:val="20"/>
                <w:szCs w:val="20"/>
              </w:rPr>
              <w:t>G</w:t>
            </w:r>
            <w:r w:rsidR="00C20CA3" w:rsidRPr="00C20CA3">
              <w:rPr>
                <w:rFonts w:ascii="Source Sans Pro Regular" w:hAnsi="Source Sans Pro Regular"/>
                <w:color w:val="898D8D"/>
                <w:sz w:val="20"/>
                <w:szCs w:val="20"/>
              </w:rPr>
              <w:t xml:space="preserve">ustavo </w:t>
            </w:r>
            <w:r w:rsidRPr="00C20CA3">
              <w:rPr>
                <w:rFonts w:ascii="Source Sans Pro Regular" w:hAnsi="Source Sans Pro Regular"/>
                <w:color w:val="898D8D"/>
                <w:sz w:val="20"/>
                <w:szCs w:val="20"/>
              </w:rPr>
              <w:t>A</w:t>
            </w:r>
            <w:r w:rsidR="00C20CA3" w:rsidRPr="00C20CA3">
              <w:rPr>
                <w:rFonts w:ascii="Source Sans Pro Regular" w:hAnsi="Source Sans Pro Regular"/>
                <w:color w:val="898D8D"/>
                <w:sz w:val="20"/>
                <w:szCs w:val="20"/>
              </w:rPr>
              <w:t xml:space="preserve">. </w:t>
            </w:r>
            <w:r w:rsidRPr="00C20CA3">
              <w:rPr>
                <w:rFonts w:ascii="Source Sans Pro Regular" w:hAnsi="Source Sans Pro Regular"/>
                <w:color w:val="898D8D"/>
                <w:sz w:val="20"/>
                <w:szCs w:val="20"/>
              </w:rPr>
              <w:t>M</w:t>
            </w:r>
            <w:r w:rsidR="00C20CA3" w:rsidRPr="00C20CA3">
              <w:rPr>
                <w:rFonts w:ascii="Source Sans Pro Regular" w:hAnsi="Source Sans Pro Regular"/>
                <w:color w:val="898D8D"/>
                <w:sz w:val="20"/>
                <w:szCs w:val="20"/>
              </w:rPr>
              <w:t>adero (1</w:t>
            </w:r>
            <w:r w:rsidRPr="00C20CA3">
              <w:rPr>
                <w:rFonts w:ascii="Source Sans Pro Regular" w:hAnsi="Source Sans Pro Regular"/>
                <w:color w:val="898D8D"/>
                <w:sz w:val="20"/>
                <w:szCs w:val="20"/>
              </w:rPr>
              <w:t>8,195</w:t>
            </w:r>
            <w:r w:rsidR="00C20CA3" w:rsidRPr="00C20CA3">
              <w:rPr>
                <w:rFonts w:ascii="Source Sans Pro Regular" w:hAnsi="Source Sans Pro Regular"/>
                <w:color w:val="898D8D"/>
                <w:sz w:val="20"/>
                <w:szCs w:val="20"/>
              </w:rPr>
              <w:t xml:space="preserve">); </w:t>
            </w:r>
            <w:r w:rsidRPr="00C20CA3">
              <w:rPr>
                <w:rFonts w:ascii="Source Sans Pro Regular" w:hAnsi="Source Sans Pro Regular"/>
                <w:color w:val="898D8D"/>
                <w:sz w:val="20"/>
                <w:szCs w:val="20"/>
              </w:rPr>
              <w:t>Tláhuac</w:t>
            </w:r>
            <w:r w:rsidR="00C20CA3">
              <w:rPr>
                <w:rFonts w:ascii="Source Sans Pro Regular" w:hAnsi="Source Sans Pro Regular"/>
                <w:color w:val="898D8D"/>
                <w:sz w:val="20"/>
                <w:szCs w:val="20"/>
              </w:rPr>
              <w:t xml:space="preserve"> (</w:t>
            </w:r>
            <w:r w:rsidRPr="00C20CA3">
              <w:rPr>
                <w:rFonts w:ascii="Source Sans Pro Regular" w:hAnsi="Source Sans Pro Regular"/>
                <w:color w:val="898D8D"/>
                <w:sz w:val="20"/>
                <w:szCs w:val="20"/>
              </w:rPr>
              <w:t>18,080</w:t>
            </w:r>
            <w:r w:rsidR="00C20CA3">
              <w:rPr>
                <w:rFonts w:ascii="Source Sans Pro Regular" w:hAnsi="Source Sans Pro Regular"/>
                <w:color w:val="898D8D"/>
                <w:sz w:val="20"/>
                <w:szCs w:val="20"/>
              </w:rPr>
              <w:t xml:space="preserve">); </w:t>
            </w:r>
            <w:r w:rsidR="0097438F">
              <w:rPr>
                <w:rFonts w:ascii="Source Sans Pro Regular" w:hAnsi="Source Sans Pro Regular"/>
                <w:color w:val="898D8D"/>
                <w:sz w:val="20"/>
                <w:szCs w:val="20"/>
              </w:rPr>
              <w:t xml:space="preserve">y </w:t>
            </w:r>
            <w:r w:rsidRPr="008D3CAE">
              <w:rPr>
                <w:rFonts w:ascii="Source Sans Pro Regular" w:hAnsi="Source Sans Pro Regular"/>
                <w:color w:val="898D8D"/>
                <w:sz w:val="20"/>
                <w:szCs w:val="20"/>
              </w:rPr>
              <w:t>Tlalpan</w:t>
            </w:r>
            <w:r w:rsidR="00C20CA3">
              <w:rPr>
                <w:rFonts w:ascii="Source Sans Pro Regular" w:hAnsi="Source Sans Pro Regular"/>
                <w:color w:val="898D8D"/>
                <w:sz w:val="20"/>
                <w:szCs w:val="20"/>
              </w:rPr>
              <w:t xml:space="preserve"> (</w:t>
            </w:r>
            <w:r w:rsidRPr="008D3CAE">
              <w:rPr>
                <w:rFonts w:ascii="Source Sans Pro Regular" w:hAnsi="Source Sans Pro Regular"/>
                <w:color w:val="898D8D"/>
                <w:sz w:val="20"/>
                <w:szCs w:val="20"/>
              </w:rPr>
              <w:t>17,362</w:t>
            </w:r>
            <w:r w:rsidR="00C20CA3">
              <w:rPr>
                <w:rFonts w:ascii="Source Sans Pro Regular" w:hAnsi="Source Sans Pro Regular"/>
                <w:color w:val="898D8D"/>
                <w:sz w:val="20"/>
                <w:szCs w:val="20"/>
              </w:rPr>
              <w:t>).</w:t>
            </w:r>
          </w:p>
        </w:tc>
        <w:tc>
          <w:tcPr>
            <w:tcW w:w="3117" w:type="dxa"/>
          </w:tcPr>
          <w:p w14:paraId="0C8D6178" w14:textId="77777777" w:rsidR="00F82798" w:rsidRPr="008D3CAE" w:rsidRDefault="00F82798">
            <w:pPr>
              <w:pStyle w:val="Normal1"/>
              <w:rPr>
                <w:rFonts w:ascii="Source Sans Pro Regular" w:hAnsi="Source Sans Pro Regular"/>
                <w:color w:val="898D8D"/>
                <w:sz w:val="20"/>
                <w:szCs w:val="20"/>
              </w:rPr>
            </w:pPr>
          </w:p>
        </w:tc>
      </w:tr>
      <w:tr w:rsidR="00F82798" w:rsidRPr="002C0FBF" w14:paraId="2258DEEF" w14:textId="77777777" w:rsidTr="004D43EE">
        <w:tc>
          <w:tcPr>
            <w:tcW w:w="2174" w:type="dxa"/>
          </w:tcPr>
          <w:p w14:paraId="20C41E12" w14:textId="77777777" w:rsidR="00F82798" w:rsidRPr="005A1349" w:rsidRDefault="000A63FB">
            <w:pPr>
              <w:pStyle w:val="Normal1"/>
              <w:rPr>
                <w:rFonts w:ascii="Source Sans Pro Regular" w:hAnsi="Source Sans Pro Regular"/>
                <w:b/>
                <w:color w:val="898D8D"/>
                <w:sz w:val="20"/>
                <w:szCs w:val="20"/>
              </w:rPr>
            </w:pPr>
            <w:r w:rsidRPr="005A1349">
              <w:rPr>
                <w:rFonts w:ascii="Source Sans Pro Regular" w:hAnsi="Source Sans Pro Regular"/>
                <w:b/>
                <w:color w:val="898D8D"/>
                <w:sz w:val="20"/>
                <w:szCs w:val="20"/>
              </w:rPr>
              <w:t xml:space="preserve">Unidades médicas del segundo nivel de atención </w:t>
            </w:r>
          </w:p>
          <w:p w14:paraId="1EC26425" w14:textId="77777777" w:rsidR="00F82798" w:rsidRPr="005A1349" w:rsidRDefault="00F82798">
            <w:pPr>
              <w:pStyle w:val="Normal1"/>
              <w:rPr>
                <w:rFonts w:ascii="Source Sans Pro Regular" w:hAnsi="Source Sans Pro Regular"/>
                <w:color w:val="898D8D"/>
                <w:sz w:val="20"/>
                <w:szCs w:val="20"/>
              </w:rPr>
            </w:pPr>
          </w:p>
          <w:p w14:paraId="22889D7C" w14:textId="77777777" w:rsidR="00F82798" w:rsidRPr="005A1349" w:rsidRDefault="000A63FB">
            <w:pPr>
              <w:pStyle w:val="Normal1"/>
              <w:rPr>
                <w:rFonts w:ascii="Source Sans Pro Regular" w:hAnsi="Source Sans Pro Regular"/>
                <w:color w:val="898D8D"/>
                <w:sz w:val="20"/>
                <w:szCs w:val="20"/>
              </w:rPr>
            </w:pPr>
            <w:r w:rsidRPr="005A1349">
              <w:rPr>
                <w:rFonts w:ascii="Source Sans Pro Regular" w:hAnsi="Source Sans Pro Regular"/>
                <w:color w:val="898D8D"/>
                <w:sz w:val="20"/>
                <w:szCs w:val="20"/>
              </w:rPr>
              <w:t>Fuente: Diagnóstico (gráfica 5.11)</w:t>
            </w:r>
          </w:p>
        </w:tc>
        <w:tc>
          <w:tcPr>
            <w:tcW w:w="4821" w:type="dxa"/>
          </w:tcPr>
          <w:p w14:paraId="6E0E60CE" w14:textId="5B305F8E" w:rsidR="00F82798" w:rsidRPr="005A1349" w:rsidRDefault="000A63FB" w:rsidP="00FE299A">
            <w:pPr>
              <w:pStyle w:val="Normal1"/>
              <w:numPr>
                <w:ilvl w:val="0"/>
                <w:numId w:val="9"/>
              </w:numPr>
              <w:spacing w:after="60"/>
              <w:ind w:left="414" w:hanging="414"/>
              <w:rPr>
                <w:rFonts w:ascii="Source Sans Pro Regular" w:hAnsi="Source Sans Pro Regular"/>
                <w:color w:val="898D8D"/>
                <w:sz w:val="20"/>
                <w:szCs w:val="20"/>
              </w:rPr>
            </w:pPr>
            <w:bookmarkStart w:id="1" w:name="_gjdgxs" w:colFirst="0" w:colLast="0"/>
            <w:bookmarkEnd w:id="1"/>
            <w:r w:rsidRPr="005A1349">
              <w:rPr>
                <w:rFonts w:ascii="Source Sans Pro Regular" w:hAnsi="Source Sans Pro Regular"/>
                <w:color w:val="898D8D"/>
                <w:sz w:val="20"/>
                <w:szCs w:val="20"/>
              </w:rPr>
              <w:t xml:space="preserve">En Coyoacán, Cuajimalpa y La Magdalena Contreras no existen unidades médicas del segundo nivel de atención del sector público. Esto significa que en estas demarcaciones no existen unidades médicas públicas, de ninguna institución, que ofrezcan servicios de terapia intensiva. </w:t>
            </w:r>
          </w:p>
        </w:tc>
        <w:tc>
          <w:tcPr>
            <w:tcW w:w="3117" w:type="dxa"/>
          </w:tcPr>
          <w:p w14:paraId="38A4B8F8" w14:textId="77777777" w:rsidR="00F82798" w:rsidRPr="005A1349" w:rsidRDefault="00F82798">
            <w:pPr>
              <w:pStyle w:val="Normal1"/>
              <w:rPr>
                <w:rFonts w:ascii="Source Sans Pro Regular" w:hAnsi="Source Sans Pro Regular"/>
                <w:color w:val="898D8D"/>
                <w:sz w:val="20"/>
                <w:szCs w:val="20"/>
              </w:rPr>
            </w:pPr>
          </w:p>
        </w:tc>
      </w:tr>
      <w:tr w:rsidR="00F82798" w:rsidRPr="002C0FBF" w14:paraId="3A65F5D9" w14:textId="77777777" w:rsidTr="004D43EE">
        <w:tc>
          <w:tcPr>
            <w:tcW w:w="2174" w:type="dxa"/>
          </w:tcPr>
          <w:p w14:paraId="466D2C53" w14:textId="72F2B21A" w:rsidR="00F82798" w:rsidRPr="005A1349" w:rsidRDefault="005A1349">
            <w:pPr>
              <w:pStyle w:val="Normal1"/>
              <w:rPr>
                <w:rFonts w:ascii="Source Sans Pro Regular" w:hAnsi="Source Sans Pro Regular"/>
                <w:b/>
                <w:color w:val="898D8D"/>
                <w:sz w:val="20"/>
                <w:szCs w:val="20"/>
              </w:rPr>
            </w:pPr>
            <w:r>
              <w:rPr>
                <w:rFonts w:ascii="Source Sans Pro Regular" w:hAnsi="Source Sans Pro Regular"/>
                <w:b/>
                <w:color w:val="898D8D"/>
                <w:sz w:val="20"/>
                <w:szCs w:val="20"/>
              </w:rPr>
              <w:t>Camas hospitalarias / 1,000 habitantes</w:t>
            </w:r>
          </w:p>
          <w:p w14:paraId="654A3A27" w14:textId="77777777" w:rsidR="00F82798" w:rsidRPr="005A1349" w:rsidRDefault="00F82798">
            <w:pPr>
              <w:pStyle w:val="Normal1"/>
              <w:rPr>
                <w:rFonts w:ascii="Source Sans Pro Regular" w:hAnsi="Source Sans Pro Regular"/>
                <w:color w:val="898D8D"/>
                <w:sz w:val="20"/>
                <w:szCs w:val="20"/>
              </w:rPr>
            </w:pPr>
          </w:p>
          <w:p w14:paraId="6BA5C760" w14:textId="77777777" w:rsidR="00F82798" w:rsidRPr="005A1349" w:rsidRDefault="000A63FB">
            <w:pPr>
              <w:pStyle w:val="Normal1"/>
              <w:rPr>
                <w:rFonts w:ascii="Source Sans Pro Regular" w:hAnsi="Source Sans Pro Regular"/>
                <w:color w:val="898D8D"/>
                <w:sz w:val="20"/>
                <w:szCs w:val="20"/>
              </w:rPr>
            </w:pPr>
            <w:r w:rsidRPr="005A1349">
              <w:rPr>
                <w:rFonts w:ascii="Source Sans Pro Regular" w:hAnsi="Source Sans Pro Regular"/>
                <w:color w:val="898D8D"/>
                <w:sz w:val="20"/>
                <w:szCs w:val="20"/>
              </w:rPr>
              <w:t>Fuentes: OCDE y Diagnóstico (gráfica 5.14)</w:t>
            </w:r>
          </w:p>
        </w:tc>
        <w:tc>
          <w:tcPr>
            <w:tcW w:w="4821" w:type="dxa"/>
          </w:tcPr>
          <w:p w14:paraId="51DEAC94" w14:textId="1EA7CA9C" w:rsidR="00F82798" w:rsidRPr="005A1349" w:rsidRDefault="000A63FB" w:rsidP="00437BE6">
            <w:pPr>
              <w:pStyle w:val="Normal1"/>
              <w:numPr>
                <w:ilvl w:val="0"/>
                <w:numId w:val="9"/>
              </w:numPr>
              <w:spacing w:after="60"/>
              <w:ind w:left="414" w:hanging="414"/>
              <w:rPr>
                <w:rFonts w:ascii="Source Sans Pro Regular" w:hAnsi="Source Sans Pro Regular"/>
                <w:color w:val="898D8D"/>
                <w:sz w:val="20"/>
                <w:szCs w:val="20"/>
              </w:rPr>
            </w:pPr>
            <w:r w:rsidRPr="005A1349">
              <w:rPr>
                <w:rFonts w:ascii="Source Sans Pro Regular" w:hAnsi="Source Sans Pro Regular"/>
                <w:color w:val="898D8D"/>
                <w:sz w:val="20"/>
                <w:szCs w:val="20"/>
              </w:rPr>
              <w:t>En la Ciudad (2015) hay 16,137 camas hospitalarias</w:t>
            </w:r>
            <w:r w:rsidR="006D4CCA">
              <w:rPr>
                <w:rFonts w:ascii="Source Sans Pro Regular" w:hAnsi="Source Sans Pro Regular"/>
                <w:color w:val="898D8D"/>
                <w:sz w:val="20"/>
                <w:szCs w:val="20"/>
              </w:rPr>
              <w:t xml:space="preserve">, de las cuales </w:t>
            </w:r>
            <w:r w:rsidRPr="005A1349">
              <w:rPr>
                <w:rFonts w:ascii="Source Sans Pro Regular" w:hAnsi="Source Sans Pro Regular"/>
                <w:color w:val="898D8D"/>
                <w:sz w:val="20"/>
                <w:szCs w:val="20"/>
              </w:rPr>
              <w:t xml:space="preserve">10,529 </w:t>
            </w:r>
            <w:r w:rsidR="003F2C2C">
              <w:rPr>
                <w:rFonts w:ascii="Source Sans Pro Regular" w:hAnsi="Source Sans Pro Regular"/>
                <w:color w:val="898D8D"/>
                <w:sz w:val="20"/>
                <w:szCs w:val="20"/>
              </w:rPr>
              <w:t xml:space="preserve">son </w:t>
            </w:r>
            <w:r w:rsidRPr="005A1349">
              <w:rPr>
                <w:rFonts w:ascii="Source Sans Pro Regular" w:hAnsi="Source Sans Pro Regular"/>
                <w:color w:val="898D8D"/>
                <w:sz w:val="20"/>
                <w:szCs w:val="20"/>
              </w:rPr>
              <w:t>camas censables (instaladas en las áreas de hospitalización para el uso regular de pacientes internos, por lo que son las únicas que producen egresos hospitalarios sobre los que se genera información) y 5,608 no censables (dedicadas a atención transitoria o provisional).</w:t>
            </w:r>
          </w:p>
          <w:p w14:paraId="2B9E98A3" w14:textId="18A00B87" w:rsidR="00F82798" w:rsidRPr="005A1349" w:rsidRDefault="00C14977" w:rsidP="00C14977">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L</w:t>
            </w:r>
            <w:r w:rsidR="000A63FB" w:rsidRPr="005A1349">
              <w:rPr>
                <w:rFonts w:ascii="Source Sans Pro Regular" w:hAnsi="Source Sans Pro Regular"/>
                <w:color w:val="898D8D"/>
                <w:sz w:val="20"/>
                <w:szCs w:val="20"/>
              </w:rPr>
              <w:t>a relación es de 1.8 camas hospital</w:t>
            </w:r>
            <w:r>
              <w:rPr>
                <w:rFonts w:ascii="Source Sans Pro Regular" w:hAnsi="Source Sans Pro Regular"/>
                <w:color w:val="898D8D"/>
                <w:sz w:val="20"/>
                <w:szCs w:val="20"/>
              </w:rPr>
              <w:t>arias por cada 1,000 habitantes, mientras que e</w:t>
            </w:r>
            <w:r w:rsidR="000A63FB" w:rsidRPr="005A1349">
              <w:rPr>
                <w:rFonts w:ascii="Source Sans Pro Regular" w:hAnsi="Source Sans Pro Regular"/>
                <w:color w:val="898D8D"/>
                <w:sz w:val="20"/>
                <w:szCs w:val="20"/>
              </w:rPr>
              <w:t>l promedio de la OCDE es 4.7 camas por cada 1,000 habitantes.</w:t>
            </w:r>
          </w:p>
        </w:tc>
        <w:tc>
          <w:tcPr>
            <w:tcW w:w="3117" w:type="dxa"/>
          </w:tcPr>
          <w:p w14:paraId="7E5267D3" w14:textId="77777777" w:rsidR="00F82798" w:rsidRPr="005A1349" w:rsidRDefault="00F82798">
            <w:pPr>
              <w:pStyle w:val="Normal1"/>
              <w:rPr>
                <w:rFonts w:ascii="Source Sans Pro Regular" w:hAnsi="Source Sans Pro Regular"/>
                <w:color w:val="898D8D"/>
                <w:sz w:val="20"/>
                <w:szCs w:val="20"/>
              </w:rPr>
            </w:pPr>
          </w:p>
        </w:tc>
      </w:tr>
      <w:tr w:rsidR="00F82798" w:rsidRPr="002C0FBF" w14:paraId="65C1E5A3" w14:textId="77777777" w:rsidTr="004D43EE">
        <w:tc>
          <w:tcPr>
            <w:tcW w:w="2174" w:type="dxa"/>
          </w:tcPr>
          <w:p w14:paraId="74956AC2" w14:textId="77777777" w:rsidR="00F82798" w:rsidRPr="005A1349" w:rsidRDefault="000A63FB">
            <w:pPr>
              <w:pStyle w:val="Normal1"/>
              <w:rPr>
                <w:rFonts w:ascii="Source Sans Pro Regular" w:hAnsi="Source Sans Pro Regular"/>
                <w:b/>
                <w:color w:val="898D8D"/>
                <w:sz w:val="20"/>
                <w:szCs w:val="20"/>
              </w:rPr>
            </w:pPr>
            <w:r w:rsidRPr="005A1349">
              <w:rPr>
                <w:rFonts w:ascii="Source Sans Pro Regular" w:hAnsi="Source Sans Pro Regular"/>
                <w:b/>
                <w:color w:val="898D8D"/>
                <w:sz w:val="20"/>
                <w:szCs w:val="20"/>
              </w:rPr>
              <w:t xml:space="preserve">Médicos / 1,000 habitantes </w:t>
            </w:r>
          </w:p>
          <w:p w14:paraId="232D8805" w14:textId="77777777" w:rsidR="00F82798" w:rsidRPr="005A1349" w:rsidRDefault="00F82798">
            <w:pPr>
              <w:pStyle w:val="Normal1"/>
              <w:rPr>
                <w:rFonts w:ascii="Source Sans Pro Regular" w:hAnsi="Source Sans Pro Regular"/>
                <w:color w:val="898D8D"/>
                <w:sz w:val="20"/>
                <w:szCs w:val="20"/>
              </w:rPr>
            </w:pPr>
          </w:p>
          <w:p w14:paraId="24C7DEE4" w14:textId="77777777" w:rsidR="00F82798" w:rsidRPr="005A1349" w:rsidRDefault="000A63FB">
            <w:pPr>
              <w:pStyle w:val="Normal1"/>
              <w:rPr>
                <w:rFonts w:ascii="Source Sans Pro Regular" w:hAnsi="Source Sans Pro Regular"/>
                <w:color w:val="898D8D"/>
                <w:sz w:val="20"/>
                <w:szCs w:val="20"/>
              </w:rPr>
            </w:pPr>
            <w:r w:rsidRPr="005A1349">
              <w:rPr>
                <w:rFonts w:ascii="Source Sans Pro Regular" w:hAnsi="Source Sans Pro Regular"/>
                <w:color w:val="898D8D"/>
                <w:sz w:val="20"/>
                <w:szCs w:val="20"/>
              </w:rPr>
              <w:t>Fuentes: OCDE y Diagnóstico (gráfica 5.14)</w:t>
            </w:r>
          </w:p>
        </w:tc>
        <w:tc>
          <w:tcPr>
            <w:tcW w:w="4821" w:type="dxa"/>
          </w:tcPr>
          <w:p w14:paraId="04CEF484" w14:textId="17D0FBDF" w:rsidR="00F82798" w:rsidRPr="005A1349" w:rsidRDefault="000A63FB" w:rsidP="00052F9C">
            <w:pPr>
              <w:pStyle w:val="Normal1"/>
              <w:numPr>
                <w:ilvl w:val="0"/>
                <w:numId w:val="9"/>
              </w:numPr>
              <w:spacing w:after="60"/>
              <w:ind w:left="414" w:hanging="414"/>
              <w:rPr>
                <w:rFonts w:ascii="Source Sans Pro Regular" w:hAnsi="Source Sans Pro Regular"/>
                <w:color w:val="898D8D"/>
                <w:sz w:val="20"/>
                <w:szCs w:val="20"/>
              </w:rPr>
            </w:pPr>
            <w:r w:rsidRPr="005A1349">
              <w:rPr>
                <w:rFonts w:ascii="Source Sans Pro Regular" w:hAnsi="Source Sans Pro Regular"/>
                <w:color w:val="898D8D"/>
                <w:sz w:val="20"/>
                <w:szCs w:val="20"/>
              </w:rPr>
              <w:lastRenderedPageBreak/>
              <w:t xml:space="preserve">En la Ciudad (2015) hay 25,000 médicos de contacto directo con el paciente (incluyendo </w:t>
            </w:r>
            <w:r w:rsidRPr="005A1349">
              <w:rPr>
                <w:rFonts w:ascii="Source Sans Pro Regular" w:hAnsi="Source Sans Pro Regular"/>
                <w:color w:val="898D8D"/>
                <w:sz w:val="20"/>
                <w:szCs w:val="20"/>
              </w:rPr>
              <w:lastRenderedPageBreak/>
              <w:t>médicos generales, especialistas, odontólogos y residentes), lo que corresponde a casi 3 médicos por cada 1,000 habitantes</w:t>
            </w:r>
            <w:r w:rsidR="00052F9C">
              <w:rPr>
                <w:rFonts w:ascii="Source Sans Pro Regular" w:hAnsi="Source Sans Pro Regular"/>
                <w:color w:val="898D8D"/>
                <w:sz w:val="20"/>
                <w:szCs w:val="20"/>
              </w:rPr>
              <w:t xml:space="preserve"> (2.9)</w:t>
            </w:r>
            <w:r w:rsidRPr="005A1349">
              <w:rPr>
                <w:rFonts w:ascii="Source Sans Pro Regular" w:hAnsi="Source Sans Pro Regular"/>
                <w:color w:val="898D8D"/>
                <w:sz w:val="20"/>
                <w:szCs w:val="20"/>
              </w:rPr>
              <w:t>.</w:t>
            </w:r>
            <w:r w:rsidR="00052F9C">
              <w:rPr>
                <w:rFonts w:ascii="Source Sans Pro Regular" w:hAnsi="Source Sans Pro Regular"/>
                <w:color w:val="898D8D"/>
                <w:sz w:val="20"/>
                <w:szCs w:val="20"/>
              </w:rPr>
              <w:t xml:space="preserve"> </w:t>
            </w:r>
            <w:r w:rsidRPr="005A1349">
              <w:rPr>
                <w:rFonts w:ascii="Source Sans Pro Regular" w:hAnsi="Source Sans Pro Regular"/>
                <w:color w:val="898D8D"/>
                <w:sz w:val="20"/>
                <w:szCs w:val="20"/>
              </w:rPr>
              <w:t xml:space="preserve">El promedio para la OCDE es 3.4 médicos por cada 1,000 habitantes. </w:t>
            </w:r>
          </w:p>
        </w:tc>
        <w:tc>
          <w:tcPr>
            <w:tcW w:w="3117" w:type="dxa"/>
          </w:tcPr>
          <w:p w14:paraId="128725CD" w14:textId="77777777" w:rsidR="00F82798" w:rsidRPr="005A1349" w:rsidRDefault="00F82798">
            <w:pPr>
              <w:pStyle w:val="Normal1"/>
              <w:rPr>
                <w:rFonts w:ascii="Source Sans Pro Regular" w:hAnsi="Source Sans Pro Regular"/>
                <w:color w:val="898D8D"/>
                <w:sz w:val="20"/>
                <w:szCs w:val="20"/>
              </w:rPr>
            </w:pPr>
          </w:p>
        </w:tc>
      </w:tr>
      <w:tr w:rsidR="00F82798" w:rsidRPr="002C0FBF" w14:paraId="6DA0A56B" w14:textId="77777777" w:rsidTr="004D43EE">
        <w:tc>
          <w:tcPr>
            <w:tcW w:w="2174" w:type="dxa"/>
          </w:tcPr>
          <w:p w14:paraId="5A9398F2" w14:textId="77777777" w:rsidR="00F82798" w:rsidRPr="005A1349" w:rsidRDefault="000A63FB">
            <w:pPr>
              <w:pStyle w:val="Normal1"/>
              <w:rPr>
                <w:rFonts w:ascii="Source Sans Pro Regular" w:hAnsi="Source Sans Pro Regular"/>
                <w:b/>
                <w:color w:val="898D8D"/>
                <w:sz w:val="20"/>
                <w:szCs w:val="20"/>
              </w:rPr>
            </w:pPr>
            <w:r w:rsidRPr="005A1349">
              <w:rPr>
                <w:rFonts w:ascii="Source Sans Pro Regular" w:hAnsi="Source Sans Pro Regular"/>
                <w:b/>
                <w:color w:val="898D8D"/>
                <w:sz w:val="20"/>
                <w:szCs w:val="20"/>
              </w:rPr>
              <w:t xml:space="preserve">Enfermeras / 1,000 habitantes  </w:t>
            </w:r>
          </w:p>
          <w:p w14:paraId="6B5F69FB" w14:textId="77777777" w:rsidR="00F82798" w:rsidRPr="005A1349" w:rsidRDefault="00F82798">
            <w:pPr>
              <w:pStyle w:val="Normal1"/>
              <w:rPr>
                <w:rFonts w:ascii="Source Sans Pro Regular" w:hAnsi="Source Sans Pro Regular"/>
                <w:b/>
                <w:color w:val="898D8D"/>
                <w:sz w:val="20"/>
                <w:szCs w:val="20"/>
              </w:rPr>
            </w:pPr>
          </w:p>
          <w:p w14:paraId="4671BBDE" w14:textId="77777777" w:rsidR="00F82798" w:rsidRPr="005A1349" w:rsidRDefault="000A63FB">
            <w:pPr>
              <w:pStyle w:val="Normal1"/>
              <w:rPr>
                <w:rFonts w:ascii="Source Sans Pro Regular" w:hAnsi="Source Sans Pro Regular"/>
                <w:color w:val="898D8D"/>
                <w:sz w:val="20"/>
                <w:szCs w:val="20"/>
              </w:rPr>
            </w:pPr>
            <w:r w:rsidRPr="005A1349">
              <w:rPr>
                <w:rFonts w:ascii="Source Sans Pro Regular" w:hAnsi="Source Sans Pro Regular"/>
                <w:color w:val="898D8D"/>
                <w:sz w:val="20"/>
                <w:szCs w:val="20"/>
              </w:rPr>
              <w:t>Fuentes: OCDE y Diagnóstico (gráfica 5.14)</w:t>
            </w:r>
          </w:p>
        </w:tc>
        <w:tc>
          <w:tcPr>
            <w:tcW w:w="4821" w:type="dxa"/>
          </w:tcPr>
          <w:p w14:paraId="1E98471E" w14:textId="3A7AA925" w:rsidR="00F82798" w:rsidRPr="005A1349" w:rsidRDefault="000A63FB" w:rsidP="00052F9C">
            <w:pPr>
              <w:pStyle w:val="Normal1"/>
              <w:numPr>
                <w:ilvl w:val="0"/>
                <w:numId w:val="9"/>
              </w:numPr>
              <w:spacing w:after="60"/>
              <w:ind w:left="414" w:hanging="414"/>
              <w:rPr>
                <w:rFonts w:ascii="Source Sans Pro Regular" w:hAnsi="Source Sans Pro Regular"/>
                <w:color w:val="898D8D"/>
                <w:sz w:val="20"/>
                <w:szCs w:val="20"/>
              </w:rPr>
            </w:pPr>
            <w:r w:rsidRPr="005A1349">
              <w:rPr>
                <w:rFonts w:ascii="Source Sans Pro Regular" w:hAnsi="Source Sans Pro Regular"/>
                <w:color w:val="898D8D"/>
                <w:sz w:val="20"/>
                <w:szCs w:val="20"/>
              </w:rPr>
              <w:t>En la Ciudad (2015) hay aproximadamente 38,000 personas encargadas del servicio de enfermería</w:t>
            </w:r>
            <w:r w:rsidR="00052F9C">
              <w:rPr>
                <w:rFonts w:ascii="Source Sans Pro Regular" w:hAnsi="Source Sans Pro Regular"/>
                <w:color w:val="898D8D"/>
                <w:sz w:val="20"/>
                <w:szCs w:val="20"/>
              </w:rPr>
              <w:t xml:space="preserve"> (enfermeras/os auxiliares, generales, especializadas, pasantes y otros)</w:t>
            </w:r>
            <w:r w:rsidRPr="005A1349">
              <w:rPr>
                <w:rFonts w:ascii="Source Sans Pro Regular" w:hAnsi="Source Sans Pro Regular"/>
                <w:color w:val="898D8D"/>
                <w:sz w:val="20"/>
                <w:szCs w:val="20"/>
              </w:rPr>
              <w:t>, lo que equivale a 4.2 enfermeras/os por cada 1,000 habitantes.</w:t>
            </w:r>
            <w:r w:rsidR="00052F9C">
              <w:rPr>
                <w:rFonts w:ascii="Source Sans Pro Regular" w:hAnsi="Source Sans Pro Regular"/>
                <w:color w:val="898D8D"/>
                <w:sz w:val="20"/>
                <w:szCs w:val="20"/>
              </w:rPr>
              <w:t xml:space="preserve"> </w:t>
            </w:r>
            <w:r w:rsidRPr="005A1349">
              <w:rPr>
                <w:rFonts w:ascii="Source Sans Pro Regular" w:hAnsi="Source Sans Pro Regular"/>
                <w:color w:val="898D8D"/>
                <w:sz w:val="20"/>
                <w:szCs w:val="20"/>
              </w:rPr>
              <w:t>El promedio de la OCDE es 9 por cada 1,000 habitantes</w:t>
            </w:r>
            <w:r w:rsidR="004B72E8">
              <w:rPr>
                <w:rFonts w:ascii="Source Sans Pro Regular" w:hAnsi="Source Sans Pro Regular"/>
                <w:color w:val="898D8D"/>
                <w:sz w:val="20"/>
                <w:szCs w:val="20"/>
              </w:rPr>
              <w:t>.</w:t>
            </w:r>
          </w:p>
        </w:tc>
        <w:tc>
          <w:tcPr>
            <w:tcW w:w="3117" w:type="dxa"/>
          </w:tcPr>
          <w:p w14:paraId="52ED1DE4" w14:textId="77777777" w:rsidR="00F82798" w:rsidRPr="005A1349" w:rsidRDefault="00F82798">
            <w:pPr>
              <w:pStyle w:val="Normal1"/>
              <w:rPr>
                <w:rFonts w:ascii="Source Sans Pro Regular" w:hAnsi="Source Sans Pro Regular"/>
                <w:color w:val="898D8D"/>
                <w:sz w:val="20"/>
                <w:szCs w:val="20"/>
              </w:rPr>
            </w:pPr>
          </w:p>
        </w:tc>
      </w:tr>
      <w:tr w:rsidR="00F82798" w:rsidRPr="002C0FBF" w14:paraId="3770D3B8" w14:textId="77777777" w:rsidTr="004D43EE">
        <w:tc>
          <w:tcPr>
            <w:tcW w:w="2174" w:type="dxa"/>
          </w:tcPr>
          <w:p w14:paraId="46F6E1CC" w14:textId="77777777" w:rsidR="00F82798" w:rsidRPr="00E40074" w:rsidRDefault="000A63FB">
            <w:pPr>
              <w:pStyle w:val="Normal1"/>
              <w:rPr>
                <w:rFonts w:ascii="Source Sans Pro Regular" w:hAnsi="Source Sans Pro Regular"/>
                <w:b/>
                <w:color w:val="898D8D"/>
                <w:sz w:val="20"/>
                <w:szCs w:val="20"/>
              </w:rPr>
            </w:pPr>
            <w:r w:rsidRPr="00E40074">
              <w:rPr>
                <w:rFonts w:ascii="Source Sans Pro Regular" w:hAnsi="Source Sans Pro Regular"/>
                <w:b/>
                <w:color w:val="898D8D"/>
                <w:sz w:val="20"/>
                <w:szCs w:val="20"/>
              </w:rPr>
              <w:t xml:space="preserve">Valoración sobre suficiencia de recursos </w:t>
            </w:r>
          </w:p>
          <w:p w14:paraId="0841268E" w14:textId="77777777" w:rsidR="00F82798" w:rsidRPr="005A1349" w:rsidRDefault="00F82798">
            <w:pPr>
              <w:pStyle w:val="Normal1"/>
              <w:rPr>
                <w:rFonts w:ascii="Source Sans Pro Regular" w:hAnsi="Source Sans Pro Regular"/>
                <w:color w:val="898D8D"/>
                <w:sz w:val="20"/>
                <w:szCs w:val="20"/>
              </w:rPr>
            </w:pPr>
          </w:p>
          <w:p w14:paraId="4670C816" w14:textId="77777777" w:rsidR="00F82798" w:rsidRPr="005A1349" w:rsidRDefault="000A63FB">
            <w:pPr>
              <w:pStyle w:val="Normal1"/>
              <w:rPr>
                <w:rFonts w:ascii="Source Sans Pro Regular" w:hAnsi="Source Sans Pro Regular"/>
                <w:color w:val="898D8D"/>
                <w:sz w:val="20"/>
                <w:szCs w:val="20"/>
              </w:rPr>
            </w:pPr>
            <w:r w:rsidRPr="005A1349">
              <w:rPr>
                <w:rFonts w:ascii="Source Sans Pro Regular" w:hAnsi="Source Sans Pro Regular"/>
                <w:color w:val="898D8D"/>
                <w:sz w:val="20"/>
                <w:szCs w:val="20"/>
              </w:rPr>
              <w:t>Fuentes: Diagnóstico (figuras 5.2 y 5.3)</w:t>
            </w:r>
          </w:p>
        </w:tc>
        <w:tc>
          <w:tcPr>
            <w:tcW w:w="4821" w:type="dxa"/>
          </w:tcPr>
          <w:p w14:paraId="6FB8DE2A" w14:textId="07B21D63" w:rsidR="00F82798" w:rsidRPr="005A1349" w:rsidRDefault="000A63FB" w:rsidP="00052F9C">
            <w:pPr>
              <w:pStyle w:val="Normal1"/>
              <w:numPr>
                <w:ilvl w:val="0"/>
                <w:numId w:val="9"/>
              </w:numPr>
              <w:spacing w:after="60"/>
              <w:ind w:left="414" w:hanging="414"/>
              <w:rPr>
                <w:rFonts w:ascii="Source Sans Pro Regular" w:hAnsi="Source Sans Pro Regular"/>
                <w:color w:val="898D8D"/>
                <w:sz w:val="20"/>
                <w:szCs w:val="20"/>
              </w:rPr>
            </w:pPr>
            <w:r w:rsidRPr="005A1349">
              <w:rPr>
                <w:rFonts w:ascii="Source Sans Pro Regular" w:hAnsi="Source Sans Pro Regular"/>
                <w:color w:val="898D8D"/>
                <w:sz w:val="20"/>
                <w:szCs w:val="20"/>
              </w:rPr>
              <w:t>En 2017, entre la población usuaria de los servicios de salud ofrecidos por SEDESA (Secretaría de Salud de la Ciudad de México):</w:t>
            </w:r>
          </w:p>
          <w:p w14:paraId="222FD9DC" w14:textId="77777777" w:rsidR="00F82798" w:rsidRPr="005A1349" w:rsidRDefault="000A63FB" w:rsidP="00C345DB">
            <w:pPr>
              <w:pStyle w:val="Normal1"/>
              <w:numPr>
                <w:ilvl w:val="0"/>
                <w:numId w:val="8"/>
              </w:numPr>
              <w:ind w:left="714" w:hanging="357"/>
              <w:rPr>
                <w:rFonts w:ascii="Source Sans Pro Regular" w:hAnsi="Source Sans Pro Regular"/>
                <w:color w:val="898D8D"/>
                <w:sz w:val="20"/>
                <w:szCs w:val="20"/>
              </w:rPr>
            </w:pPr>
            <w:r w:rsidRPr="005A1349">
              <w:rPr>
                <w:rFonts w:ascii="Source Sans Pro Regular" w:hAnsi="Source Sans Pro Regular"/>
                <w:color w:val="898D8D"/>
                <w:sz w:val="20"/>
                <w:szCs w:val="20"/>
              </w:rPr>
              <w:t xml:space="preserve">El 48.1% considera que estas instituciones no cuentan con médicos suficientes para la atención. </w:t>
            </w:r>
          </w:p>
          <w:p w14:paraId="20C59647" w14:textId="0A162925" w:rsidR="00F82798" w:rsidRPr="005A1349" w:rsidRDefault="000A63FB" w:rsidP="00C345DB">
            <w:pPr>
              <w:pStyle w:val="Normal1"/>
              <w:numPr>
                <w:ilvl w:val="0"/>
                <w:numId w:val="8"/>
              </w:numPr>
              <w:ind w:left="714" w:hanging="357"/>
              <w:rPr>
                <w:rFonts w:ascii="Source Sans Pro Regular" w:hAnsi="Source Sans Pro Regular"/>
                <w:color w:val="898D8D"/>
                <w:sz w:val="20"/>
                <w:szCs w:val="20"/>
              </w:rPr>
            </w:pPr>
            <w:r w:rsidRPr="005A1349">
              <w:rPr>
                <w:rFonts w:ascii="Source Sans Pro Regular" w:hAnsi="Source Sans Pro Regular"/>
                <w:color w:val="898D8D"/>
                <w:sz w:val="20"/>
                <w:szCs w:val="20"/>
              </w:rPr>
              <w:t>El 39.5% dice que no reciben atención inmediata.</w:t>
            </w:r>
          </w:p>
          <w:p w14:paraId="5722F4F6" w14:textId="77777777" w:rsidR="00F82798" w:rsidRPr="005A1349" w:rsidRDefault="000A63FB" w:rsidP="00C345DB">
            <w:pPr>
              <w:pStyle w:val="Normal1"/>
              <w:numPr>
                <w:ilvl w:val="0"/>
                <w:numId w:val="8"/>
              </w:numPr>
              <w:ind w:left="714" w:hanging="357"/>
              <w:rPr>
                <w:rFonts w:ascii="Source Sans Pro Regular" w:hAnsi="Source Sans Pro Regular"/>
                <w:color w:val="898D8D"/>
                <w:sz w:val="20"/>
                <w:szCs w:val="20"/>
              </w:rPr>
            </w:pPr>
            <w:r w:rsidRPr="005A1349">
              <w:rPr>
                <w:rFonts w:ascii="Source Sans Pro Regular" w:hAnsi="Source Sans Pro Regular"/>
                <w:color w:val="898D8D"/>
                <w:sz w:val="20"/>
                <w:szCs w:val="20"/>
              </w:rPr>
              <w:t>El 34.4% afirma que las instalaciones no cuentan con el equipo necesario.</w:t>
            </w:r>
          </w:p>
          <w:p w14:paraId="731C7308" w14:textId="77777777" w:rsidR="00F82798" w:rsidRPr="005A1349" w:rsidRDefault="000A63FB" w:rsidP="00C345DB">
            <w:pPr>
              <w:pStyle w:val="Normal1"/>
              <w:numPr>
                <w:ilvl w:val="0"/>
                <w:numId w:val="8"/>
              </w:numPr>
              <w:ind w:left="714" w:hanging="357"/>
              <w:rPr>
                <w:rFonts w:ascii="Source Sans Pro Regular" w:hAnsi="Source Sans Pro Regular"/>
                <w:color w:val="898D8D"/>
                <w:sz w:val="20"/>
                <w:szCs w:val="20"/>
              </w:rPr>
            </w:pPr>
            <w:r w:rsidRPr="005A1349">
              <w:rPr>
                <w:rFonts w:ascii="Source Sans Pro Regular" w:hAnsi="Source Sans Pro Regular"/>
                <w:color w:val="898D8D"/>
                <w:sz w:val="20"/>
                <w:szCs w:val="20"/>
              </w:rPr>
              <w:t>El 62.9% dice que no se dispone de medicamentos.</w:t>
            </w:r>
          </w:p>
        </w:tc>
        <w:tc>
          <w:tcPr>
            <w:tcW w:w="3117" w:type="dxa"/>
          </w:tcPr>
          <w:p w14:paraId="2575E8CD" w14:textId="77777777" w:rsidR="00F82798" w:rsidRPr="005A1349" w:rsidRDefault="00F82798">
            <w:pPr>
              <w:pStyle w:val="Normal1"/>
              <w:rPr>
                <w:rFonts w:ascii="Source Sans Pro Regular" w:hAnsi="Source Sans Pro Regular"/>
                <w:color w:val="898D8D"/>
                <w:sz w:val="20"/>
                <w:szCs w:val="20"/>
              </w:rPr>
            </w:pPr>
          </w:p>
        </w:tc>
      </w:tr>
      <w:tr w:rsidR="00F82798" w:rsidRPr="002C0FBF" w14:paraId="4EA83B31" w14:textId="77777777" w:rsidTr="004D43EE">
        <w:tc>
          <w:tcPr>
            <w:tcW w:w="2174" w:type="dxa"/>
          </w:tcPr>
          <w:p w14:paraId="7E770C1D" w14:textId="77777777" w:rsidR="00F82798" w:rsidRDefault="000A63FB">
            <w:pPr>
              <w:pStyle w:val="Normal1"/>
              <w:rPr>
                <w:rFonts w:ascii="Source Sans Pro Regular" w:hAnsi="Source Sans Pro Regular"/>
                <w:b/>
                <w:color w:val="898D8D"/>
                <w:sz w:val="20"/>
                <w:szCs w:val="20"/>
              </w:rPr>
            </w:pPr>
            <w:r w:rsidRPr="00E40074">
              <w:rPr>
                <w:rFonts w:ascii="Source Sans Pro Regular" w:hAnsi="Source Sans Pro Regular"/>
                <w:b/>
                <w:color w:val="898D8D"/>
                <w:sz w:val="20"/>
                <w:szCs w:val="20"/>
              </w:rPr>
              <w:t>Pago ante la deficiencia del servicio público de salud</w:t>
            </w:r>
          </w:p>
          <w:p w14:paraId="2121510A" w14:textId="77777777" w:rsidR="00E40074" w:rsidRPr="00E40074" w:rsidRDefault="00E40074">
            <w:pPr>
              <w:pStyle w:val="Normal1"/>
              <w:rPr>
                <w:rFonts w:ascii="Source Sans Pro Regular" w:hAnsi="Source Sans Pro Regular"/>
                <w:b/>
                <w:color w:val="898D8D"/>
                <w:sz w:val="20"/>
                <w:szCs w:val="20"/>
              </w:rPr>
            </w:pPr>
          </w:p>
          <w:p w14:paraId="38189F4F" w14:textId="77777777" w:rsidR="00F82798" w:rsidRPr="005A1349" w:rsidRDefault="000A63FB">
            <w:pPr>
              <w:pStyle w:val="Normal1"/>
              <w:rPr>
                <w:rFonts w:ascii="Source Sans Pro Regular" w:hAnsi="Source Sans Pro Regular"/>
                <w:color w:val="898D8D"/>
                <w:sz w:val="20"/>
                <w:szCs w:val="20"/>
              </w:rPr>
            </w:pPr>
            <w:r w:rsidRPr="005A1349">
              <w:rPr>
                <w:rFonts w:ascii="Source Sans Pro Regular" w:hAnsi="Source Sans Pro Regular"/>
                <w:color w:val="898D8D"/>
                <w:sz w:val="20"/>
                <w:szCs w:val="20"/>
              </w:rPr>
              <w:t>Fuente: Diagnóstico (gráfica 5.15)</w:t>
            </w:r>
          </w:p>
        </w:tc>
        <w:tc>
          <w:tcPr>
            <w:tcW w:w="4821" w:type="dxa"/>
          </w:tcPr>
          <w:p w14:paraId="23A46D65" w14:textId="0E2CD6A9" w:rsidR="00F82798" w:rsidRPr="005A1349" w:rsidRDefault="000A63FB" w:rsidP="00BD33BB">
            <w:pPr>
              <w:pStyle w:val="Normal1"/>
              <w:numPr>
                <w:ilvl w:val="0"/>
                <w:numId w:val="9"/>
              </w:numPr>
              <w:spacing w:after="60"/>
              <w:ind w:left="414" w:hanging="414"/>
              <w:rPr>
                <w:rFonts w:ascii="Source Sans Pro Regular" w:hAnsi="Source Sans Pro Regular"/>
                <w:color w:val="898D8D"/>
                <w:sz w:val="20"/>
                <w:szCs w:val="20"/>
              </w:rPr>
            </w:pPr>
            <w:r w:rsidRPr="005A1349">
              <w:rPr>
                <w:rFonts w:ascii="Source Sans Pro Regular" w:hAnsi="Source Sans Pro Regular"/>
                <w:color w:val="898D8D"/>
                <w:sz w:val="20"/>
                <w:szCs w:val="20"/>
              </w:rPr>
              <w:t>El 57.6% de los usuarios de SEDESA dice paga por servicios médicos ante la deficiencia de la atención que reciben por parte de estas instituciones</w:t>
            </w:r>
            <w:r w:rsidR="00BD33BB">
              <w:rPr>
                <w:rFonts w:ascii="Source Sans Pro Regular" w:hAnsi="Source Sans Pro Regular"/>
                <w:color w:val="898D8D"/>
                <w:sz w:val="20"/>
                <w:szCs w:val="20"/>
              </w:rPr>
              <w:t xml:space="preserve"> (2017)</w:t>
            </w:r>
            <w:r w:rsidRPr="005A1349">
              <w:rPr>
                <w:rFonts w:ascii="Source Sans Pro Regular" w:hAnsi="Source Sans Pro Regular"/>
                <w:color w:val="898D8D"/>
                <w:sz w:val="20"/>
                <w:szCs w:val="20"/>
              </w:rPr>
              <w:t xml:space="preserve">. </w:t>
            </w:r>
          </w:p>
        </w:tc>
        <w:tc>
          <w:tcPr>
            <w:tcW w:w="3117" w:type="dxa"/>
          </w:tcPr>
          <w:p w14:paraId="76059168" w14:textId="77777777" w:rsidR="00F82798" w:rsidRPr="005A1349" w:rsidRDefault="00F82798">
            <w:pPr>
              <w:pStyle w:val="Normal1"/>
              <w:rPr>
                <w:rFonts w:ascii="Source Sans Pro Regular" w:hAnsi="Source Sans Pro Regular"/>
                <w:color w:val="898D8D"/>
                <w:sz w:val="20"/>
                <w:szCs w:val="20"/>
              </w:rPr>
            </w:pPr>
          </w:p>
        </w:tc>
      </w:tr>
      <w:tr w:rsidR="00F82798" w:rsidRPr="002C0FBF" w14:paraId="52897756" w14:textId="77777777" w:rsidTr="004D43EE">
        <w:tc>
          <w:tcPr>
            <w:tcW w:w="2174" w:type="dxa"/>
          </w:tcPr>
          <w:p w14:paraId="26F39CBF" w14:textId="68833115" w:rsidR="00F82798" w:rsidRPr="00701A59" w:rsidRDefault="000A63FB">
            <w:pPr>
              <w:pStyle w:val="Normal1"/>
              <w:rPr>
                <w:rFonts w:ascii="Source Sans Pro Regular" w:hAnsi="Source Sans Pro Regular"/>
                <w:color w:val="898D8D"/>
                <w:sz w:val="20"/>
                <w:szCs w:val="20"/>
              </w:rPr>
            </w:pPr>
            <w:r w:rsidRPr="00701A59">
              <w:rPr>
                <w:rFonts w:ascii="Source Sans Pro Regular" w:hAnsi="Source Sans Pro Regular"/>
                <w:b/>
                <w:color w:val="898D8D"/>
                <w:sz w:val="20"/>
                <w:szCs w:val="20"/>
              </w:rPr>
              <w:t>Cobertura</w:t>
            </w:r>
            <w:r w:rsidR="00E045DC">
              <w:rPr>
                <w:rFonts w:ascii="Source Sans Pro Regular" w:hAnsi="Source Sans Pro Regular"/>
                <w:b/>
                <w:color w:val="898D8D"/>
                <w:sz w:val="20"/>
                <w:szCs w:val="20"/>
              </w:rPr>
              <w:t xml:space="preserve"> médica</w:t>
            </w:r>
          </w:p>
          <w:p w14:paraId="6AD10BF9" w14:textId="77777777" w:rsidR="00F82798" w:rsidRPr="00701A59" w:rsidRDefault="00F82798">
            <w:pPr>
              <w:pStyle w:val="Normal1"/>
              <w:rPr>
                <w:rFonts w:ascii="Source Sans Pro Regular" w:hAnsi="Source Sans Pro Regular"/>
                <w:color w:val="898D8D"/>
                <w:sz w:val="20"/>
                <w:szCs w:val="20"/>
              </w:rPr>
            </w:pPr>
          </w:p>
          <w:p w14:paraId="70C53F53" w14:textId="25B7446D" w:rsidR="00F82798" w:rsidRPr="00701A59" w:rsidRDefault="000A63FB" w:rsidP="00D53B8C">
            <w:pPr>
              <w:pStyle w:val="Normal1"/>
              <w:rPr>
                <w:rFonts w:ascii="Source Sans Pro Regular" w:hAnsi="Source Sans Pro Regular"/>
                <w:color w:val="898D8D"/>
                <w:sz w:val="20"/>
                <w:szCs w:val="20"/>
              </w:rPr>
            </w:pPr>
            <w:r w:rsidRPr="00701A59">
              <w:rPr>
                <w:rFonts w:ascii="Source Sans Pro Regular" w:hAnsi="Source Sans Pro Regular"/>
                <w:color w:val="898D8D"/>
                <w:sz w:val="20"/>
                <w:szCs w:val="20"/>
              </w:rPr>
              <w:t>Fuentes:</w:t>
            </w:r>
            <w:r w:rsidR="00D53B8C">
              <w:rPr>
                <w:rFonts w:ascii="Source Sans Pro Regular" w:hAnsi="Source Sans Pro Regular"/>
                <w:color w:val="898D8D"/>
                <w:sz w:val="20"/>
                <w:szCs w:val="20"/>
              </w:rPr>
              <w:t xml:space="preserve"> Encuesta Intercensal 2015</w:t>
            </w:r>
            <w:r w:rsidRPr="00701A59">
              <w:rPr>
                <w:rFonts w:ascii="Source Sans Pro Regular" w:hAnsi="Source Sans Pro Regular"/>
                <w:color w:val="898D8D"/>
                <w:sz w:val="20"/>
                <w:szCs w:val="20"/>
              </w:rPr>
              <w:t xml:space="preserve"> </w:t>
            </w:r>
          </w:p>
        </w:tc>
        <w:tc>
          <w:tcPr>
            <w:tcW w:w="4821" w:type="dxa"/>
          </w:tcPr>
          <w:p w14:paraId="3CF8BC21" w14:textId="24EEE659" w:rsidR="00EE0A08" w:rsidRDefault="000A63FB" w:rsidP="00BD33BB">
            <w:pPr>
              <w:pStyle w:val="Normal1"/>
              <w:numPr>
                <w:ilvl w:val="0"/>
                <w:numId w:val="9"/>
              </w:numPr>
              <w:spacing w:after="60"/>
              <w:ind w:left="414" w:hanging="414"/>
              <w:rPr>
                <w:rFonts w:ascii="Source Sans Pro Regular" w:hAnsi="Source Sans Pro Regular"/>
                <w:color w:val="898D8D"/>
                <w:sz w:val="20"/>
                <w:szCs w:val="20"/>
              </w:rPr>
            </w:pPr>
            <w:r w:rsidRPr="00701A59">
              <w:rPr>
                <w:rFonts w:ascii="Source Sans Pro Regular" w:hAnsi="Source Sans Pro Regular"/>
                <w:color w:val="898D8D"/>
                <w:sz w:val="20"/>
                <w:szCs w:val="20"/>
              </w:rPr>
              <w:t>En 2015</w:t>
            </w:r>
            <w:r w:rsidR="00983677">
              <w:rPr>
                <w:rFonts w:ascii="Source Sans Pro Regular" w:hAnsi="Source Sans Pro Regular"/>
                <w:color w:val="898D8D"/>
                <w:sz w:val="20"/>
                <w:szCs w:val="20"/>
              </w:rPr>
              <w:t>,</w:t>
            </w:r>
            <w:r w:rsidRPr="00701A59">
              <w:rPr>
                <w:rFonts w:ascii="Source Sans Pro Regular" w:hAnsi="Source Sans Pro Regular"/>
                <w:color w:val="898D8D"/>
                <w:sz w:val="20"/>
                <w:szCs w:val="20"/>
              </w:rPr>
              <w:t xml:space="preserve"> hay 1,549,389 de personas sin cobertura médica de ningún tipo, lo que representa el 17.4% de los habitantes</w:t>
            </w:r>
            <w:r w:rsidR="00983677">
              <w:rPr>
                <w:rFonts w:ascii="Source Sans Pro Regular" w:hAnsi="Source Sans Pro Regular"/>
                <w:color w:val="898D8D"/>
                <w:sz w:val="20"/>
                <w:szCs w:val="20"/>
              </w:rPr>
              <w:t xml:space="preserve"> de la Ciudad</w:t>
            </w:r>
            <w:r w:rsidRPr="00701A59">
              <w:rPr>
                <w:rFonts w:ascii="Source Sans Pro Regular" w:hAnsi="Source Sans Pro Regular"/>
                <w:color w:val="898D8D"/>
                <w:sz w:val="20"/>
                <w:szCs w:val="20"/>
              </w:rPr>
              <w:t xml:space="preserve">. </w:t>
            </w:r>
          </w:p>
          <w:p w14:paraId="0894AB29" w14:textId="23CFC184" w:rsidR="00F82798" w:rsidRPr="00701A59" w:rsidRDefault="000A63FB" w:rsidP="00BD33BB">
            <w:pPr>
              <w:pStyle w:val="Normal1"/>
              <w:numPr>
                <w:ilvl w:val="0"/>
                <w:numId w:val="9"/>
              </w:numPr>
              <w:spacing w:after="60"/>
              <w:ind w:left="414" w:hanging="414"/>
              <w:rPr>
                <w:rFonts w:ascii="Source Sans Pro Regular" w:hAnsi="Source Sans Pro Regular"/>
                <w:color w:val="898D8D"/>
                <w:sz w:val="20"/>
                <w:szCs w:val="20"/>
              </w:rPr>
            </w:pPr>
            <w:r w:rsidRPr="00EE0A08">
              <w:rPr>
                <w:rFonts w:ascii="Source Sans Pro Regular" w:hAnsi="Source Sans Pro Regular"/>
                <w:color w:val="898D8D"/>
                <w:sz w:val="20"/>
                <w:szCs w:val="20"/>
              </w:rPr>
              <w:t xml:space="preserve">En 5 alcaldías el porcentaje de personas sin cobertura médica es superior al promedio </w:t>
            </w:r>
            <w:r w:rsidR="00983677">
              <w:rPr>
                <w:rFonts w:ascii="Source Sans Pro Regular" w:hAnsi="Source Sans Pro Regular"/>
                <w:color w:val="898D8D"/>
                <w:sz w:val="20"/>
                <w:szCs w:val="20"/>
              </w:rPr>
              <w:t>capitalino</w:t>
            </w:r>
            <w:r w:rsidRPr="00EE0A08">
              <w:rPr>
                <w:rFonts w:ascii="Source Sans Pro Regular" w:hAnsi="Source Sans Pro Regular"/>
                <w:color w:val="898D8D"/>
                <w:sz w:val="20"/>
                <w:szCs w:val="20"/>
              </w:rPr>
              <w:t>: Iztapalapa</w:t>
            </w:r>
            <w:r w:rsidR="00EE0A08" w:rsidRPr="00EE0A08">
              <w:rPr>
                <w:rFonts w:ascii="Source Sans Pro Regular" w:hAnsi="Source Sans Pro Regular"/>
                <w:color w:val="898D8D"/>
                <w:sz w:val="20"/>
                <w:szCs w:val="20"/>
              </w:rPr>
              <w:t xml:space="preserve"> (</w:t>
            </w:r>
            <w:r w:rsidRPr="00EE0A08">
              <w:rPr>
                <w:rFonts w:ascii="Source Sans Pro Regular" w:hAnsi="Source Sans Pro Regular"/>
                <w:color w:val="898D8D"/>
                <w:sz w:val="20"/>
                <w:szCs w:val="20"/>
              </w:rPr>
              <w:t>20.2%</w:t>
            </w:r>
            <w:r w:rsidR="00EE0A08" w:rsidRPr="00EE0A08">
              <w:rPr>
                <w:rFonts w:ascii="Source Sans Pro Regular" w:hAnsi="Source Sans Pro Regular"/>
                <w:color w:val="898D8D"/>
                <w:sz w:val="20"/>
                <w:szCs w:val="20"/>
              </w:rPr>
              <w:t xml:space="preserve">); </w:t>
            </w:r>
            <w:r w:rsidRPr="00EE0A08">
              <w:rPr>
                <w:rFonts w:ascii="Source Sans Pro Regular" w:hAnsi="Source Sans Pro Regular"/>
                <w:color w:val="898D8D"/>
                <w:sz w:val="20"/>
                <w:szCs w:val="20"/>
              </w:rPr>
              <w:t>Cuauhtémoc</w:t>
            </w:r>
            <w:r w:rsidR="00EE0A08" w:rsidRPr="00EE0A08">
              <w:rPr>
                <w:rFonts w:ascii="Source Sans Pro Regular" w:hAnsi="Source Sans Pro Regular"/>
                <w:color w:val="898D8D"/>
                <w:sz w:val="20"/>
                <w:szCs w:val="20"/>
              </w:rPr>
              <w:t xml:space="preserve"> (</w:t>
            </w:r>
            <w:r w:rsidRPr="00EE0A08">
              <w:rPr>
                <w:rFonts w:ascii="Source Sans Pro Regular" w:hAnsi="Source Sans Pro Regular"/>
                <w:color w:val="898D8D"/>
                <w:sz w:val="20"/>
                <w:szCs w:val="20"/>
              </w:rPr>
              <w:t>20.2%</w:t>
            </w:r>
            <w:r w:rsidR="00EE0A08" w:rsidRPr="00EE0A08">
              <w:rPr>
                <w:rFonts w:ascii="Source Sans Pro Regular" w:hAnsi="Source Sans Pro Regular"/>
                <w:color w:val="898D8D"/>
                <w:sz w:val="20"/>
                <w:szCs w:val="20"/>
              </w:rPr>
              <w:t xml:space="preserve">); </w:t>
            </w:r>
            <w:r w:rsidR="00822B00" w:rsidRPr="00EE0A08">
              <w:rPr>
                <w:rFonts w:ascii="Source Sans Pro Regular" w:hAnsi="Source Sans Pro Regular"/>
                <w:color w:val="898D8D"/>
                <w:sz w:val="20"/>
                <w:szCs w:val="20"/>
              </w:rPr>
              <w:t>Xochimilco</w:t>
            </w:r>
            <w:r w:rsidR="00EE0A08" w:rsidRPr="00EE0A08">
              <w:rPr>
                <w:rFonts w:ascii="Source Sans Pro Regular" w:hAnsi="Source Sans Pro Regular"/>
                <w:color w:val="898D8D"/>
                <w:sz w:val="20"/>
                <w:szCs w:val="20"/>
              </w:rPr>
              <w:t xml:space="preserve"> (19.6%); </w:t>
            </w:r>
            <w:r w:rsidRPr="00EE0A08">
              <w:rPr>
                <w:rFonts w:ascii="Source Sans Pro Regular" w:hAnsi="Source Sans Pro Regular"/>
                <w:color w:val="898D8D"/>
                <w:sz w:val="20"/>
                <w:szCs w:val="20"/>
              </w:rPr>
              <w:t>Tlalpan</w:t>
            </w:r>
            <w:r w:rsidR="00EE0A08">
              <w:rPr>
                <w:rFonts w:ascii="Source Sans Pro Regular" w:hAnsi="Source Sans Pro Regular"/>
                <w:color w:val="898D8D"/>
                <w:sz w:val="20"/>
                <w:szCs w:val="20"/>
              </w:rPr>
              <w:t xml:space="preserve"> (</w:t>
            </w:r>
            <w:r w:rsidRPr="00EE0A08">
              <w:rPr>
                <w:rFonts w:ascii="Source Sans Pro Regular" w:hAnsi="Source Sans Pro Regular"/>
                <w:color w:val="898D8D"/>
                <w:sz w:val="20"/>
                <w:szCs w:val="20"/>
              </w:rPr>
              <w:t>19.5.%</w:t>
            </w:r>
            <w:r w:rsidR="00EE0A08">
              <w:rPr>
                <w:rFonts w:ascii="Source Sans Pro Regular" w:hAnsi="Source Sans Pro Regular"/>
                <w:color w:val="898D8D"/>
                <w:sz w:val="20"/>
                <w:szCs w:val="20"/>
              </w:rPr>
              <w:t xml:space="preserve">); </w:t>
            </w:r>
            <w:r w:rsidR="00F82EEB">
              <w:rPr>
                <w:rFonts w:ascii="Source Sans Pro Regular" w:hAnsi="Source Sans Pro Regular"/>
                <w:color w:val="898D8D"/>
                <w:sz w:val="20"/>
                <w:szCs w:val="20"/>
              </w:rPr>
              <w:t xml:space="preserve">e </w:t>
            </w:r>
            <w:r w:rsidRPr="00701A59">
              <w:rPr>
                <w:rFonts w:ascii="Source Sans Pro Regular" w:hAnsi="Source Sans Pro Regular"/>
                <w:color w:val="898D8D"/>
                <w:sz w:val="20"/>
                <w:szCs w:val="20"/>
              </w:rPr>
              <w:t>Iztacalco</w:t>
            </w:r>
            <w:r w:rsidR="00EE0A08">
              <w:rPr>
                <w:rFonts w:ascii="Source Sans Pro Regular" w:hAnsi="Source Sans Pro Regular"/>
                <w:color w:val="898D8D"/>
                <w:sz w:val="20"/>
                <w:szCs w:val="20"/>
              </w:rPr>
              <w:t xml:space="preserve"> (17.9%).</w:t>
            </w:r>
          </w:p>
        </w:tc>
        <w:tc>
          <w:tcPr>
            <w:tcW w:w="3117" w:type="dxa"/>
          </w:tcPr>
          <w:p w14:paraId="4A7701B6" w14:textId="77777777" w:rsidR="00F82798" w:rsidRPr="00701A59" w:rsidRDefault="00F82798">
            <w:pPr>
              <w:pStyle w:val="Normal1"/>
              <w:rPr>
                <w:rFonts w:ascii="Source Sans Pro Regular" w:hAnsi="Source Sans Pro Regular"/>
                <w:color w:val="898D8D"/>
                <w:sz w:val="20"/>
                <w:szCs w:val="20"/>
              </w:rPr>
            </w:pPr>
          </w:p>
        </w:tc>
      </w:tr>
      <w:tr w:rsidR="00F82798" w:rsidRPr="002C0FBF" w14:paraId="0F94A112" w14:textId="77777777" w:rsidTr="004D43EE">
        <w:tc>
          <w:tcPr>
            <w:tcW w:w="2174" w:type="dxa"/>
          </w:tcPr>
          <w:p w14:paraId="7EB3FE5F" w14:textId="77777777" w:rsidR="00F82798" w:rsidRPr="00701A59" w:rsidRDefault="000A63FB">
            <w:pPr>
              <w:pStyle w:val="Normal1"/>
              <w:rPr>
                <w:rFonts w:ascii="Source Sans Pro Regular" w:hAnsi="Source Sans Pro Regular"/>
                <w:b/>
                <w:color w:val="898D8D"/>
                <w:sz w:val="20"/>
                <w:szCs w:val="20"/>
              </w:rPr>
            </w:pPr>
            <w:r w:rsidRPr="00701A59">
              <w:rPr>
                <w:rFonts w:ascii="Source Sans Pro Regular" w:hAnsi="Source Sans Pro Regular"/>
                <w:b/>
                <w:color w:val="898D8D"/>
                <w:sz w:val="20"/>
                <w:szCs w:val="20"/>
              </w:rPr>
              <w:t>Seguro Popular</w:t>
            </w:r>
          </w:p>
          <w:p w14:paraId="5A328470" w14:textId="77777777" w:rsidR="00F82798" w:rsidRPr="00701A59" w:rsidRDefault="00F82798">
            <w:pPr>
              <w:pStyle w:val="Normal1"/>
              <w:rPr>
                <w:rFonts w:ascii="Source Sans Pro Regular" w:hAnsi="Source Sans Pro Regular"/>
                <w:color w:val="898D8D"/>
                <w:sz w:val="20"/>
                <w:szCs w:val="20"/>
              </w:rPr>
            </w:pPr>
          </w:p>
          <w:p w14:paraId="5F0F9553" w14:textId="77777777" w:rsidR="00F82798" w:rsidRPr="00701A59" w:rsidRDefault="000A63FB">
            <w:pPr>
              <w:pStyle w:val="Normal1"/>
              <w:rPr>
                <w:rFonts w:ascii="Source Sans Pro Regular" w:hAnsi="Source Sans Pro Regular"/>
                <w:color w:val="898D8D"/>
                <w:sz w:val="20"/>
                <w:szCs w:val="20"/>
              </w:rPr>
            </w:pPr>
            <w:r w:rsidRPr="00701A59">
              <w:rPr>
                <w:rFonts w:ascii="Source Sans Pro Regular" w:hAnsi="Source Sans Pro Regular"/>
                <w:color w:val="898D8D"/>
                <w:sz w:val="20"/>
                <w:szCs w:val="20"/>
              </w:rPr>
              <w:t xml:space="preserve">Fuente: Diagnóstico (cuadro 5.5) </w:t>
            </w:r>
          </w:p>
        </w:tc>
        <w:tc>
          <w:tcPr>
            <w:tcW w:w="4821" w:type="dxa"/>
          </w:tcPr>
          <w:p w14:paraId="73E08CC8" w14:textId="26AFB3ED" w:rsidR="00F82798" w:rsidRPr="00701A59" w:rsidRDefault="000A63FB" w:rsidP="00142A8B">
            <w:pPr>
              <w:pStyle w:val="Normal1"/>
              <w:numPr>
                <w:ilvl w:val="0"/>
                <w:numId w:val="9"/>
              </w:numPr>
              <w:spacing w:after="60"/>
              <w:ind w:left="414" w:hanging="414"/>
              <w:rPr>
                <w:rFonts w:ascii="Source Sans Pro Regular" w:hAnsi="Source Sans Pro Regular"/>
                <w:color w:val="898D8D"/>
                <w:sz w:val="20"/>
                <w:szCs w:val="20"/>
              </w:rPr>
            </w:pPr>
            <w:r w:rsidRPr="00701A59">
              <w:rPr>
                <w:rFonts w:ascii="Source Sans Pro Regular" w:hAnsi="Source Sans Pro Regular"/>
                <w:color w:val="898D8D"/>
                <w:sz w:val="20"/>
                <w:szCs w:val="20"/>
              </w:rPr>
              <w:t>En la Ciudad (2015) ha</w:t>
            </w:r>
            <w:r w:rsidR="00E40250">
              <w:rPr>
                <w:rFonts w:ascii="Source Sans Pro Regular" w:hAnsi="Source Sans Pro Regular"/>
                <w:color w:val="898D8D"/>
                <w:sz w:val="20"/>
                <w:szCs w:val="20"/>
              </w:rPr>
              <w:t>y</w:t>
            </w:r>
            <w:r w:rsidRPr="00701A59">
              <w:rPr>
                <w:rFonts w:ascii="Source Sans Pro Regular" w:hAnsi="Source Sans Pro Regular"/>
                <w:color w:val="898D8D"/>
                <w:sz w:val="20"/>
                <w:szCs w:val="20"/>
              </w:rPr>
              <w:t xml:space="preserve"> 2,009,093 personas afiliadas al Seguro Popular</w:t>
            </w:r>
            <w:r w:rsidR="00E40250">
              <w:rPr>
                <w:rFonts w:ascii="Source Sans Pro Regular" w:hAnsi="Source Sans Pro Regular"/>
                <w:color w:val="898D8D"/>
                <w:sz w:val="20"/>
                <w:szCs w:val="20"/>
              </w:rPr>
              <w:t>, lo que equivale a</w:t>
            </w:r>
            <w:r w:rsidRPr="00701A59">
              <w:rPr>
                <w:rFonts w:ascii="Source Sans Pro Regular" w:hAnsi="Source Sans Pro Regular"/>
                <w:color w:val="898D8D"/>
                <w:sz w:val="20"/>
                <w:szCs w:val="20"/>
              </w:rPr>
              <w:t xml:space="preserve">l 22.5% de la población residente en la Ciudad en ese año, y </w:t>
            </w:r>
            <w:r w:rsidR="00E40250">
              <w:rPr>
                <w:rFonts w:ascii="Source Sans Pro Regular" w:hAnsi="Source Sans Pro Regular"/>
                <w:color w:val="898D8D"/>
                <w:sz w:val="20"/>
                <w:szCs w:val="20"/>
              </w:rPr>
              <w:t>a</w:t>
            </w:r>
            <w:r w:rsidRPr="00701A59">
              <w:rPr>
                <w:rFonts w:ascii="Source Sans Pro Regular" w:hAnsi="Source Sans Pro Regular"/>
                <w:color w:val="898D8D"/>
                <w:sz w:val="20"/>
                <w:szCs w:val="20"/>
              </w:rPr>
              <w:t>l 28.7% de las personas afiliadas a alguna institución de salud.</w:t>
            </w:r>
          </w:p>
        </w:tc>
        <w:tc>
          <w:tcPr>
            <w:tcW w:w="3117" w:type="dxa"/>
          </w:tcPr>
          <w:p w14:paraId="0885C99F" w14:textId="77777777" w:rsidR="00F82798" w:rsidRPr="00701A59" w:rsidRDefault="000A63FB">
            <w:pPr>
              <w:pStyle w:val="Normal1"/>
              <w:rPr>
                <w:rFonts w:ascii="Source Sans Pro Regular" w:hAnsi="Source Sans Pro Regular"/>
                <w:color w:val="898D8D"/>
                <w:sz w:val="20"/>
                <w:szCs w:val="20"/>
              </w:rPr>
            </w:pPr>
            <w:r w:rsidRPr="00701A59">
              <w:rPr>
                <w:rFonts w:ascii="Source Sans Pro Regular" w:hAnsi="Source Sans Pro Regular"/>
                <w:color w:val="898D8D"/>
                <w:sz w:val="20"/>
                <w:szCs w:val="20"/>
              </w:rPr>
              <w:t xml:space="preserve"> </w:t>
            </w:r>
          </w:p>
        </w:tc>
      </w:tr>
      <w:tr w:rsidR="00F82798" w:rsidRPr="002C0FBF" w14:paraId="38CF214E" w14:textId="77777777" w:rsidTr="004D43EE">
        <w:tc>
          <w:tcPr>
            <w:tcW w:w="2174" w:type="dxa"/>
          </w:tcPr>
          <w:p w14:paraId="53F3EDE1" w14:textId="77777777" w:rsidR="00F82798" w:rsidRPr="00CF344B" w:rsidRDefault="000A63FB">
            <w:pPr>
              <w:pStyle w:val="Normal1"/>
              <w:rPr>
                <w:rFonts w:ascii="Source Sans Pro Regular" w:hAnsi="Source Sans Pro Regular"/>
                <w:b/>
                <w:color w:val="898D8D"/>
                <w:sz w:val="20"/>
                <w:szCs w:val="20"/>
              </w:rPr>
            </w:pPr>
            <w:r w:rsidRPr="00CF344B">
              <w:rPr>
                <w:rFonts w:ascii="Source Sans Pro Regular" w:hAnsi="Source Sans Pro Regular"/>
                <w:b/>
                <w:color w:val="898D8D"/>
                <w:sz w:val="20"/>
                <w:szCs w:val="20"/>
              </w:rPr>
              <w:t>Consultorios de farmacias</w:t>
            </w:r>
          </w:p>
          <w:p w14:paraId="4FF9AF5F" w14:textId="77777777" w:rsidR="00F82798" w:rsidRPr="00701A59" w:rsidRDefault="00F82798">
            <w:pPr>
              <w:pStyle w:val="Normal1"/>
              <w:rPr>
                <w:rFonts w:ascii="Source Sans Pro Regular" w:hAnsi="Source Sans Pro Regular"/>
                <w:color w:val="898D8D"/>
                <w:sz w:val="20"/>
                <w:szCs w:val="20"/>
              </w:rPr>
            </w:pPr>
          </w:p>
          <w:p w14:paraId="38C9B929" w14:textId="77777777" w:rsidR="00F82798" w:rsidRPr="00701A59" w:rsidRDefault="000A63FB">
            <w:pPr>
              <w:pStyle w:val="Normal1"/>
              <w:rPr>
                <w:rFonts w:ascii="Source Sans Pro Regular" w:hAnsi="Source Sans Pro Regular"/>
                <w:color w:val="898D8D"/>
                <w:sz w:val="20"/>
                <w:szCs w:val="20"/>
              </w:rPr>
            </w:pPr>
            <w:r w:rsidRPr="00701A59">
              <w:rPr>
                <w:rFonts w:ascii="Source Sans Pro Regular" w:hAnsi="Source Sans Pro Regular"/>
                <w:color w:val="898D8D"/>
                <w:sz w:val="20"/>
                <w:szCs w:val="20"/>
              </w:rPr>
              <w:t>Fuente: Diagnóstico (gráfica 5.19)</w:t>
            </w:r>
          </w:p>
        </w:tc>
        <w:tc>
          <w:tcPr>
            <w:tcW w:w="4821" w:type="dxa"/>
          </w:tcPr>
          <w:p w14:paraId="2DD13815" w14:textId="08051490" w:rsidR="00F82798" w:rsidRPr="00701A59" w:rsidRDefault="000A63FB" w:rsidP="00D010A7">
            <w:pPr>
              <w:pStyle w:val="Normal1"/>
              <w:numPr>
                <w:ilvl w:val="0"/>
                <w:numId w:val="9"/>
              </w:numPr>
              <w:spacing w:after="60"/>
              <w:ind w:left="414" w:hanging="414"/>
              <w:rPr>
                <w:rFonts w:ascii="Source Sans Pro Regular" w:hAnsi="Source Sans Pro Regular"/>
                <w:color w:val="898D8D"/>
                <w:sz w:val="20"/>
                <w:szCs w:val="20"/>
              </w:rPr>
            </w:pPr>
            <w:r w:rsidRPr="00701A59">
              <w:rPr>
                <w:rFonts w:ascii="Source Sans Pro Regular" w:hAnsi="Source Sans Pro Regular"/>
                <w:color w:val="898D8D"/>
                <w:sz w:val="20"/>
                <w:szCs w:val="20"/>
              </w:rPr>
              <w:t>El 11.7% de la población de la Ciudad que acude a servicios privados cuando tiene problemas de salud lo hace en consultorios de farmacia</w:t>
            </w:r>
            <w:r w:rsidR="00BC0BF3">
              <w:rPr>
                <w:rFonts w:ascii="Source Sans Pro Regular" w:hAnsi="Source Sans Pro Regular"/>
                <w:color w:val="898D8D"/>
                <w:sz w:val="20"/>
                <w:szCs w:val="20"/>
              </w:rPr>
              <w:t xml:space="preserve"> (2015)</w:t>
            </w:r>
            <w:r w:rsidRPr="00701A59">
              <w:rPr>
                <w:rFonts w:ascii="Source Sans Pro Regular" w:hAnsi="Source Sans Pro Regular"/>
                <w:color w:val="898D8D"/>
                <w:sz w:val="20"/>
                <w:szCs w:val="20"/>
              </w:rPr>
              <w:t xml:space="preserve">. </w:t>
            </w:r>
          </w:p>
          <w:p w14:paraId="4E613D78" w14:textId="77777777" w:rsidR="00F82798" w:rsidRPr="00701A59" w:rsidRDefault="000A63FB" w:rsidP="00D010A7">
            <w:pPr>
              <w:pStyle w:val="Normal1"/>
              <w:numPr>
                <w:ilvl w:val="0"/>
                <w:numId w:val="9"/>
              </w:numPr>
              <w:spacing w:after="60"/>
              <w:ind w:left="414" w:hanging="414"/>
              <w:rPr>
                <w:rFonts w:ascii="Source Sans Pro Regular" w:hAnsi="Source Sans Pro Regular"/>
                <w:color w:val="898D8D"/>
                <w:sz w:val="20"/>
                <w:szCs w:val="20"/>
              </w:rPr>
            </w:pPr>
            <w:r w:rsidRPr="00701A59">
              <w:rPr>
                <w:rFonts w:ascii="Source Sans Pro Regular" w:hAnsi="Source Sans Pro Regular"/>
                <w:color w:val="898D8D"/>
                <w:sz w:val="20"/>
                <w:szCs w:val="20"/>
              </w:rPr>
              <w:t xml:space="preserve">En 7 alcaldías este porcentaje es superior al promedio de la Ciudad: </w:t>
            </w:r>
          </w:p>
          <w:p w14:paraId="037FF525" w14:textId="77777777" w:rsidR="00F82798" w:rsidRPr="00701A59" w:rsidRDefault="000A63FB" w:rsidP="00D010A7">
            <w:pPr>
              <w:pStyle w:val="Normal1"/>
              <w:numPr>
                <w:ilvl w:val="0"/>
                <w:numId w:val="8"/>
              </w:numPr>
              <w:ind w:left="714" w:hanging="357"/>
              <w:rPr>
                <w:rFonts w:ascii="Source Sans Pro Regular" w:hAnsi="Source Sans Pro Regular"/>
                <w:color w:val="898D8D"/>
                <w:sz w:val="20"/>
                <w:szCs w:val="20"/>
              </w:rPr>
            </w:pPr>
            <w:r w:rsidRPr="00701A59">
              <w:rPr>
                <w:rFonts w:ascii="Source Sans Pro Regular" w:hAnsi="Source Sans Pro Regular"/>
                <w:color w:val="898D8D"/>
                <w:sz w:val="20"/>
                <w:szCs w:val="20"/>
              </w:rPr>
              <w:lastRenderedPageBreak/>
              <w:t>Álvaro Obregón: 12.6%</w:t>
            </w:r>
          </w:p>
          <w:p w14:paraId="29E0FA96" w14:textId="16354101" w:rsidR="00F82798" w:rsidRPr="00BC0BF3" w:rsidRDefault="000A63FB" w:rsidP="00D010A7">
            <w:pPr>
              <w:pStyle w:val="Normal1"/>
              <w:numPr>
                <w:ilvl w:val="0"/>
                <w:numId w:val="8"/>
              </w:numPr>
              <w:ind w:left="714" w:hanging="357"/>
              <w:rPr>
                <w:rFonts w:ascii="Source Sans Pro Regular" w:hAnsi="Source Sans Pro Regular"/>
                <w:color w:val="898D8D"/>
                <w:sz w:val="20"/>
                <w:szCs w:val="20"/>
              </w:rPr>
            </w:pPr>
            <w:r w:rsidRPr="00BC0BF3">
              <w:rPr>
                <w:rFonts w:ascii="Source Sans Pro Regular" w:hAnsi="Source Sans Pro Regular"/>
                <w:color w:val="898D8D"/>
                <w:sz w:val="20"/>
                <w:szCs w:val="20"/>
              </w:rPr>
              <w:t>Cuajimalpa</w:t>
            </w:r>
            <w:r w:rsidR="00BC0BF3" w:rsidRPr="00BC0BF3">
              <w:rPr>
                <w:rFonts w:ascii="Source Sans Pro Regular" w:hAnsi="Source Sans Pro Regular"/>
                <w:color w:val="898D8D"/>
                <w:sz w:val="20"/>
                <w:szCs w:val="20"/>
              </w:rPr>
              <w:t xml:space="preserve"> e </w:t>
            </w:r>
            <w:r w:rsidRPr="00BC0BF3">
              <w:rPr>
                <w:rFonts w:ascii="Source Sans Pro Regular" w:hAnsi="Source Sans Pro Regular"/>
                <w:color w:val="898D8D"/>
                <w:sz w:val="20"/>
                <w:szCs w:val="20"/>
              </w:rPr>
              <w:t>Iztapalapa: 14.1%</w:t>
            </w:r>
          </w:p>
          <w:p w14:paraId="36FA12A0" w14:textId="77777777" w:rsidR="00F82798" w:rsidRPr="00701A59" w:rsidRDefault="000A63FB" w:rsidP="00D010A7">
            <w:pPr>
              <w:pStyle w:val="Normal1"/>
              <w:numPr>
                <w:ilvl w:val="0"/>
                <w:numId w:val="8"/>
              </w:numPr>
              <w:ind w:left="714" w:hanging="357"/>
              <w:rPr>
                <w:rFonts w:ascii="Source Sans Pro Regular" w:hAnsi="Source Sans Pro Regular"/>
                <w:color w:val="898D8D"/>
                <w:sz w:val="20"/>
                <w:szCs w:val="20"/>
              </w:rPr>
            </w:pPr>
            <w:r w:rsidRPr="00701A59">
              <w:rPr>
                <w:rFonts w:ascii="Source Sans Pro Regular" w:hAnsi="Source Sans Pro Regular"/>
                <w:color w:val="898D8D"/>
                <w:sz w:val="20"/>
                <w:szCs w:val="20"/>
              </w:rPr>
              <w:t>La Magdalena Contreras: 14.2%</w:t>
            </w:r>
          </w:p>
          <w:p w14:paraId="32A95E91" w14:textId="77777777" w:rsidR="00F82798" w:rsidRPr="00701A59" w:rsidRDefault="000A63FB" w:rsidP="00D010A7">
            <w:pPr>
              <w:pStyle w:val="Normal1"/>
              <w:numPr>
                <w:ilvl w:val="0"/>
                <w:numId w:val="8"/>
              </w:numPr>
              <w:ind w:left="714" w:hanging="357"/>
              <w:rPr>
                <w:rFonts w:ascii="Source Sans Pro Regular" w:hAnsi="Source Sans Pro Regular"/>
                <w:color w:val="898D8D"/>
                <w:sz w:val="20"/>
                <w:szCs w:val="20"/>
              </w:rPr>
            </w:pPr>
            <w:r w:rsidRPr="00701A59">
              <w:rPr>
                <w:rFonts w:ascii="Source Sans Pro Regular" w:hAnsi="Source Sans Pro Regular"/>
                <w:color w:val="898D8D"/>
                <w:sz w:val="20"/>
                <w:szCs w:val="20"/>
              </w:rPr>
              <w:t>Milpa Alta: 13.0%</w:t>
            </w:r>
          </w:p>
          <w:p w14:paraId="269D9D5F" w14:textId="77777777" w:rsidR="00F82798" w:rsidRPr="00701A59" w:rsidRDefault="000A63FB" w:rsidP="00D010A7">
            <w:pPr>
              <w:pStyle w:val="Normal1"/>
              <w:numPr>
                <w:ilvl w:val="0"/>
                <w:numId w:val="8"/>
              </w:numPr>
              <w:ind w:left="714" w:hanging="357"/>
              <w:rPr>
                <w:rFonts w:ascii="Source Sans Pro Regular" w:hAnsi="Source Sans Pro Regular"/>
                <w:color w:val="898D8D"/>
                <w:sz w:val="20"/>
                <w:szCs w:val="20"/>
              </w:rPr>
            </w:pPr>
            <w:r w:rsidRPr="00701A59">
              <w:rPr>
                <w:rFonts w:ascii="Source Sans Pro Regular" w:hAnsi="Source Sans Pro Regular"/>
                <w:color w:val="898D8D"/>
                <w:sz w:val="20"/>
                <w:szCs w:val="20"/>
              </w:rPr>
              <w:t>Tlalpan: 12.7%</w:t>
            </w:r>
          </w:p>
          <w:p w14:paraId="07AAFDF0" w14:textId="77777777" w:rsidR="00F82798" w:rsidRPr="00701A59" w:rsidRDefault="000A63FB" w:rsidP="00D010A7">
            <w:pPr>
              <w:pStyle w:val="Normal1"/>
              <w:numPr>
                <w:ilvl w:val="0"/>
                <w:numId w:val="8"/>
              </w:numPr>
              <w:ind w:left="714" w:hanging="357"/>
              <w:rPr>
                <w:rFonts w:ascii="Source Sans Pro Regular" w:hAnsi="Source Sans Pro Regular"/>
                <w:color w:val="898D8D"/>
                <w:sz w:val="20"/>
                <w:szCs w:val="20"/>
              </w:rPr>
            </w:pPr>
            <w:r w:rsidRPr="00701A59">
              <w:rPr>
                <w:rFonts w:ascii="Source Sans Pro Regular" w:hAnsi="Source Sans Pro Regular"/>
                <w:color w:val="898D8D"/>
                <w:sz w:val="20"/>
                <w:szCs w:val="20"/>
              </w:rPr>
              <w:t>Xochimilco: 13.2%</w:t>
            </w:r>
          </w:p>
        </w:tc>
        <w:tc>
          <w:tcPr>
            <w:tcW w:w="3117" w:type="dxa"/>
          </w:tcPr>
          <w:p w14:paraId="45DC8B0C" w14:textId="77777777" w:rsidR="00F82798" w:rsidRPr="00701A59" w:rsidRDefault="00F82798">
            <w:pPr>
              <w:pStyle w:val="Normal1"/>
              <w:rPr>
                <w:rFonts w:ascii="Source Sans Pro Regular" w:hAnsi="Source Sans Pro Regular"/>
                <w:color w:val="898D8D"/>
                <w:sz w:val="20"/>
                <w:szCs w:val="20"/>
              </w:rPr>
            </w:pPr>
          </w:p>
        </w:tc>
      </w:tr>
      <w:tr w:rsidR="00F82798" w:rsidRPr="002C0FBF" w14:paraId="2B8D3A72" w14:textId="77777777" w:rsidTr="004D43EE">
        <w:tc>
          <w:tcPr>
            <w:tcW w:w="2174" w:type="dxa"/>
          </w:tcPr>
          <w:p w14:paraId="7D3D6DEC" w14:textId="77777777" w:rsidR="00F82798" w:rsidRPr="00CF344B" w:rsidRDefault="000A63FB">
            <w:pPr>
              <w:pStyle w:val="Normal1"/>
              <w:rPr>
                <w:rFonts w:ascii="Source Sans Pro Regular" w:hAnsi="Source Sans Pro Regular"/>
                <w:b/>
                <w:color w:val="898D8D"/>
                <w:sz w:val="20"/>
                <w:szCs w:val="20"/>
              </w:rPr>
            </w:pPr>
            <w:r w:rsidRPr="00CF344B">
              <w:rPr>
                <w:rFonts w:ascii="Source Sans Pro Regular" w:hAnsi="Source Sans Pro Regular"/>
                <w:b/>
                <w:color w:val="898D8D"/>
                <w:sz w:val="20"/>
                <w:szCs w:val="20"/>
              </w:rPr>
              <w:t xml:space="preserve">No afiliación a servicios médicos en grupos de población particulares  </w:t>
            </w:r>
          </w:p>
          <w:p w14:paraId="38AEE69A" w14:textId="77777777" w:rsidR="00F82798" w:rsidRPr="00CF344B" w:rsidRDefault="000A63FB">
            <w:pPr>
              <w:pStyle w:val="Normal1"/>
              <w:rPr>
                <w:rFonts w:ascii="Source Sans Pro Regular" w:hAnsi="Source Sans Pro Regular"/>
                <w:color w:val="898D8D"/>
                <w:sz w:val="20"/>
                <w:szCs w:val="20"/>
              </w:rPr>
            </w:pPr>
            <w:r w:rsidRPr="00CF344B">
              <w:rPr>
                <w:rFonts w:ascii="Source Sans Pro Regular" w:hAnsi="Source Sans Pro Regular"/>
                <w:color w:val="898D8D"/>
                <w:sz w:val="20"/>
                <w:szCs w:val="20"/>
              </w:rPr>
              <w:t xml:space="preserve"> </w:t>
            </w:r>
          </w:p>
          <w:p w14:paraId="28D18321" w14:textId="77777777" w:rsidR="00F82798" w:rsidRPr="00CF344B" w:rsidRDefault="000A63FB">
            <w:pPr>
              <w:pStyle w:val="Normal1"/>
              <w:rPr>
                <w:rFonts w:ascii="Source Sans Pro Regular" w:hAnsi="Source Sans Pro Regular"/>
                <w:color w:val="898D8D"/>
                <w:sz w:val="20"/>
                <w:szCs w:val="20"/>
              </w:rPr>
            </w:pPr>
            <w:r w:rsidRPr="00CF344B">
              <w:rPr>
                <w:rFonts w:ascii="Source Sans Pro Regular" w:hAnsi="Source Sans Pro Regular"/>
                <w:color w:val="898D8D"/>
                <w:sz w:val="20"/>
                <w:szCs w:val="20"/>
              </w:rPr>
              <w:t>Fuente: Diagnóstico (cuadro 5.9)</w:t>
            </w:r>
          </w:p>
        </w:tc>
        <w:tc>
          <w:tcPr>
            <w:tcW w:w="4821" w:type="dxa"/>
          </w:tcPr>
          <w:p w14:paraId="08A05305" w14:textId="646BAE06" w:rsidR="00F82798" w:rsidRPr="00CF344B" w:rsidRDefault="000A63FB" w:rsidP="0005733B">
            <w:pPr>
              <w:pStyle w:val="Normal1"/>
              <w:numPr>
                <w:ilvl w:val="0"/>
                <w:numId w:val="9"/>
              </w:numPr>
              <w:spacing w:after="60"/>
              <w:ind w:left="414" w:hanging="414"/>
              <w:rPr>
                <w:rFonts w:ascii="Source Sans Pro Regular" w:hAnsi="Source Sans Pro Regular"/>
                <w:color w:val="898D8D"/>
                <w:sz w:val="20"/>
                <w:szCs w:val="20"/>
              </w:rPr>
            </w:pPr>
            <w:r w:rsidRPr="00CF344B">
              <w:rPr>
                <w:rFonts w:ascii="Source Sans Pro Regular" w:hAnsi="Source Sans Pro Regular"/>
                <w:color w:val="898D8D"/>
                <w:sz w:val="20"/>
                <w:szCs w:val="20"/>
              </w:rPr>
              <w:t>En 2015, no está afiliad</w:t>
            </w:r>
            <w:r w:rsidR="000D4E90">
              <w:rPr>
                <w:rFonts w:ascii="Source Sans Pro Regular" w:hAnsi="Source Sans Pro Regular"/>
                <w:color w:val="898D8D"/>
                <w:sz w:val="20"/>
                <w:szCs w:val="20"/>
              </w:rPr>
              <w:t>o</w:t>
            </w:r>
            <w:r w:rsidRPr="00CF344B">
              <w:rPr>
                <w:rFonts w:ascii="Source Sans Pro Regular" w:hAnsi="Source Sans Pro Regular"/>
                <w:color w:val="898D8D"/>
                <w:sz w:val="20"/>
                <w:szCs w:val="20"/>
              </w:rPr>
              <w:t xml:space="preserve"> a servicios médicos:</w:t>
            </w:r>
          </w:p>
          <w:p w14:paraId="099DABFB" w14:textId="77777777" w:rsidR="00F82798" w:rsidRPr="00CF344B" w:rsidRDefault="000A63FB" w:rsidP="004F5E55">
            <w:pPr>
              <w:pStyle w:val="Normal1"/>
              <w:numPr>
                <w:ilvl w:val="0"/>
                <w:numId w:val="8"/>
              </w:numPr>
              <w:ind w:left="714" w:hanging="357"/>
              <w:rPr>
                <w:rFonts w:ascii="Source Sans Pro Regular" w:hAnsi="Source Sans Pro Regular"/>
                <w:color w:val="898D8D"/>
                <w:sz w:val="20"/>
                <w:szCs w:val="20"/>
              </w:rPr>
            </w:pPr>
            <w:r w:rsidRPr="00CF344B">
              <w:rPr>
                <w:rFonts w:ascii="Source Sans Pro Regular" w:hAnsi="Source Sans Pro Regular"/>
                <w:color w:val="898D8D"/>
                <w:sz w:val="20"/>
                <w:szCs w:val="20"/>
              </w:rPr>
              <w:t>El 21.8% de las personas que trabajan</w:t>
            </w:r>
          </w:p>
          <w:p w14:paraId="00DB6267" w14:textId="77777777" w:rsidR="00F82798" w:rsidRPr="00CF344B" w:rsidRDefault="000A63FB" w:rsidP="004F5E55">
            <w:pPr>
              <w:pStyle w:val="Normal1"/>
              <w:numPr>
                <w:ilvl w:val="0"/>
                <w:numId w:val="8"/>
              </w:numPr>
              <w:ind w:left="714" w:hanging="357"/>
              <w:rPr>
                <w:rFonts w:ascii="Source Sans Pro Regular" w:hAnsi="Source Sans Pro Regular"/>
                <w:color w:val="898D8D"/>
                <w:sz w:val="20"/>
                <w:szCs w:val="20"/>
              </w:rPr>
            </w:pPr>
            <w:r w:rsidRPr="00CF344B">
              <w:rPr>
                <w:rFonts w:ascii="Source Sans Pro Regular" w:hAnsi="Source Sans Pro Regular"/>
                <w:color w:val="898D8D"/>
                <w:sz w:val="20"/>
                <w:szCs w:val="20"/>
              </w:rPr>
              <w:t>El 21.2% de los estudiantes</w:t>
            </w:r>
          </w:p>
          <w:p w14:paraId="7B5AAEF4" w14:textId="77777777" w:rsidR="00F82798" w:rsidRPr="00CF344B" w:rsidRDefault="000A63FB" w:rsidP="004F5E55">
            <w:pPr>
              <w:pStyle w:val="Normal1"/>
              <w:numPr>
                <w:ilvl w:val="0"/>
                <w:numId w:val="8"/>
              </w:numPr>
              <w:ind w:left="714" w:hanging="357"/>
              <w:rPr>
                <w:rFonts w:ascii="Source Sans Pro Regular" w:hAnsi="Source Sans Pro Regular"/>
                <w:color w:val="898D8D"/>
                <w:sz w:val="20"/>
                <w:szCs w:val="20"/>
              </w:rPr>
            </w:pPr>
            <w:r w:rsidRPr="00CF344B">
              <w:rPr>
                <w:rFonts w:ascii="Source Sans Pro Regular" w:hAnsi="Source Sans Pro Regular"/>
                <w:color w:val="898D8D"/>
                <w:sz w:val="20"/>
                <w:szCs w:val="20"/>
              </w:rPr>
              <w:t>El 19.9% de las personas que se dedican a los quehaceres del hogar</w:t>
            </w:r>
          </w:p>
          <w:p w14:paraId="60F6C6EB" w14:textId="77777777" w:rsidR="00F82798" w:rsidRPr="00CF344B" w:rsidRDefault="000A63FB" w:rsidP="004F5E55">
            <w:pPr>
              <w:pStyle w:val="Normal1"/>
              <w:numPr>
                <w:ilvl w:val="0"/>
                <w:numId w:val="8"/>
              </w:numPr>
              <w:ind w:left="714" w:hanging="357"/>
              <w:rPr>
                <w:rFonts w:ascii="Source Sans Pro Regular" w:hAnsi="Source Sans Pro Regular"/>
                <w:color w:val="898D8D"/>
                <w:sz w:val="20"/>
                <w:szCs w:val="20"/>
              </w:rPr>
            </w:pPr>
            <w:r w:rsidRPr="00CF344B">
              <w:rPr>
                <w:rFonts w:ascii="Source Sans Pro Regular" w:hAnsi="Source Sans Pro Regular"/>
                <w:color w:val="898D8D"/>
                <w:sz w:val="20"/>
                <w:szCs w:val="20"/>
              </w:rPr>
              <w:t xml:space="preserve">El 19.3% de las personas con alguna limitación física o mental </w:t>
            </w:r>
          </w:p>
        </w:tc>
        <w:tc>
          <w:tcPr>
            <w:tcW w:w="3117" w:type="dxa"/>
          </w:tcPr>
          <w:p w14:paraId="763A098C" w14:textId="77777777" w:rsidR="00F82798" w:rsidRPr="00CF344B" w:rsidRDefault="00F82798">
            <w:pPr>
              <w:pStyle w:val="Normal1"/>
              <w:rPr>
                <w:rFonts w:ascii="Source Sans Pro Regular" w:hAnsi="Source Sans Pro Regular"/>
                <w:color w:val="898D8D"/>
                <w:sz w:val="20"/>
                <w:szCs w:val="20"/>
              </w:rPr>
            </w:pPr>
          </w:p>
        </w:tc>
      </w:tr>
    </w:tbl>
    <w:p w14:paraId="78613C13" w14:textId="77777777" w:rsidR="00111AB6" w:rsidRDefault="00111AB6"/>
    <w:tbl>
      <w:tblPr>
        <w:tblStyle w:val="a"/>
        <w:tblW w:w="101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4"/>
        <w:gridCol w:w="4821"/>
        <w:gridCol w:w="3117"/>
      </w:tblGrid>
      <w:tr w:rsidR="00F82798" w:rsidRPr="005F7C7D" w14:paraId="1D56A3A4" w14:textId="77777777" w:rsidTr="005F7C7D">
        <w:trPr>
          <w:trHeight w:val="340"/>
        </w:trPr>
        <w:tc>
          <w:tcPr>
            <w:tcW w:w="10112" w:type="dxa"/>
            <w:gridSpan w:val="3"/>
            <w:shd w:val="solid" w:color="008000" w:fill="auto"/>
            <w:vAlign w:val="center"/>
          </w:tcPr>
          <w:p w14:paraId="6407E12F" w14:textId="22F6AF15" w:rsidR="00F82798" w:rsidRPr="005F7C7D" w:rsidRDefault="0049710D" w:rsidP="0049710D">
            <w:pPr>
              <w:pStyle w:val="Normal1"/>
              <w:jc w:val="center"/>
              <w:rPr>
                <w:rFonts w:ascii="Source Sans Pro Regular" w:hAnsi="Source Sans Pro Regular"/>
                <w:b/>
                <w:color w:val="FFFFFF" w:themeColor="background1"/>
                <w:sz w:val="20"/>
                <w:szCs w:val="20"/>
              </w:rPr>
            </w:pPr>
            <w:r>
              <w:rPr>
                <w:rFonts w:ascii="Source Sans Pro Regular" w:hAnsi="Source Sans Pro Regular"/>
                <w:b/>
                <w:color w:val="FFFFFF" w:themeColor="background1"/>
                <w:sz w:val="20"/>
                <w:szCs w:val="20"/>
              </w:rPr>
              <w:t xml:space="preserve">(Capítulo 6) </w:t>
            </w:r>
            <w:r w:rsidR="000A63FB" w:rsidRPr="005F7C7D">
              <w:rPr>
                <w:rFonts w:ascii="Source Sans Pro Regular" w:hAnsi="Source Sans Pro Regular"/>
                <w:b/>
                <w:color w:val="FFFFFF" w:themeColor="background1"/>
                <w:sz w:val="20"/>
                <w:szCs w:val="20"/>
              </w:rPr>
              <w:t>E</w:t>
            </w:r>
            <w:r w:rsidR="002C00E9">
              <w:rPr>
                <w:rFonts w:ascii="Source Sans Pro Regular" w:hAnsi="Source Sans Pro Regular"/>
                <w:b/>
                <w:color w:val="FFFFFF" w:themeColor="background1"/>
                <w:sz w:val="20"/>
                <w:szCs w:val="20"/>
              </w:rPr>
              <w:t>DUCACIÓN</w:t>
            </w:r>
          </w:p>
        </w:tc>
      </w:tr>
      <w:tr w:rsidR="00F82798" w:rsidRPr="005F7C7D" w14:paraId="29E6FE3A" w14:textId="77777777" w:rsidTr="005F7C7D">
        <w:tc>
          <w:tcPr>
            <w:tcW w:w="2174" w:type="dxa"/>
            <w:shd w:val="solid" w:color="008000" w:fill="auto"/>
          </w:tcPr>
          <w:p w14:paraId="1FD07CB5" w14:textId="77777777" w:rsidR="00F82798" w:rsidRPr="005F7C7D" w:rsidRDefault="000A63FB">
            <w:pPr>
              <w:pStyle w:val="Normal1"/>
              <w:rPr>
                <w:rFonts w:ascii="Source Sans Pro Regular" w:hAnsi="Source Sans Pro Regular"/>
                <w:b/>
                <w:color w:val="FFFFFF" w:themeColor="background1"/>
                <w:sz w:val="20"/>
                <w:szCs w:val="20"/>
              </w:rPr>
            </w:pPr>
            <w:r w:rsidRPr="005F7C7D">
              <w:rPr>
                <w:rFonts w:ascii="Source Sans Pro Regular" w:hAnsi="Source Sans Pro Regular"/>
                <w:b/>
                <w:color w:val="FFFFFF" w:themeColor="background1"/>
                <w:sz w:val="20"/>
                <w:szCs w:val="20"/>
              </w:rPr>
              <w:t>Temas y fuente</w:t>
            </w:r>
          </w:p>
        </w:tc>
        <w:tc>
          <w:tcPr>
            <w:tcW w:w="4821" w:type="dxa"/>
            <w:shd w:val="solid" w:color="008000" w:fill="auto"/>
          </w:tcPr>
          <w:p w14:paraId="1C4CF317" w14:textId="77777777" w:rsidR="00F82798" w:rsidRPr="005F7C7D" w:rsidRDefault="000A63FB">
            <w:pPr>
              <w:pStyle w:val="Normal1"/>
              <w:rPr>
                <w:rFonts w:ascii="Source Sans Pro Regular" w:hAnsi="Source Sans Pro Regular"/>
                <w:b/>
                <w:color w:val="FFFFFF" w:themeColor="background1"/>
                <w:sz w:val="20"/>
                <w:szCs w:val="20"/>
              </w:rPr>
            </w:pPr>
            <w:r w:rsidRPr="005F7C7D">
              <w:rPr>
                <w:rFonts w:ascii="Source Sans Pro Regular" w:hAnsi="Source Sans Pro Regular"/>
                <w:b/>
                <w:color w:val="FFFFFF" w:themeColor="background1"/>
                <w:sz w:val="20"/>
                <w:szCs w:val="20"/>
              </w:rPr>
              <w:t>Indicadores</w:t>
            </w:r>
          </w:p>
        </w:tc>
        <w:tc>
          <w:tcPr>
            <w:tcW w:w="3117" w:type="dxa"/>
            <w:shd w:val="solid" w:color="008000" w:fill="auto"/>
          </w:tcPr>
          <w:p w14:paraId="4F1669D5" w14:textId="77777777" w:rsidR="00F82798" w:rsidRPr="005F7C7D" w:rsidRDefault="00F82798">
            <w:pPr>
              <w:pStyle w:val="Normal1"/>
              <w:rPr>
                <w:rFonts w:ascii="Source Sans Pro Regular" w:hAnsi="Source Sans Pro Regular"/>
                <w:color w:val="FFFFFF" w:themeColor="background1"/>
                <w:sz w:val="20"/>
                <w:szCs w:val="20"/>
              </w:rPr>
            </w:pPr>
          </w:p>
        </w:tc>
      </w:tr>
      <w:tr w:rsidR="00F82798" w:rsidRPr="002C0FBF" w14:paraId="7CE4B063" w14:textId="77777777" w:rsidTr="004D43EE">
        <w:tc>
          <w:tcPr>
            <w:tcW w:w="2174" w:type="dxa"/>
          </w:tcPr>
          <w:p w14:paraId="1DB3B57D" w14:textId="77777777" w:rsidR="00F82798" w:rsidRPr="00537917" w:rsidRDefault="000A63FB">
            <w:pPr>
              <w:pStyle w:val="Normal1"/>
              <w:rPr>
                <w:rFonts w:ascii="Source Sans Pro Regular" w:hAnsi="Source Sans Pro Regular"/>
                <w:color w:val="898D8D"/>
                <w:sz w:val="20"/>
                <w:szCs w:val="20"/>
              </w:rPr>
            </w:pPr>
            <w:r w:rsidRPr="00537917">
              <w:rPr>
                <w:rFonts w:ascii="Source Sans Pro Regular" w:hAnsi="Source Sans Pro Regular"/>
                <w:b/>
                <w:color w:val="898D8D"/>
                <w:sz w:val="20"/>
                <w:szCs w:val="20"/>
              </w:rPr>
              <w:t>Analfabetismo</w:t>
            </w:r>
          </w:p>
          <w:p w14:paraId="12463BA7" w14:textId="77777777" w:rsidR="00F82798" w:rsidRPr="00537917" w:rsidRDefault="00F82798">
            <w:pPr>
              <w:pStyle w:val="Normal1"/>
              <w:rPr>
                <w:rFonts w:ascii="Source Sans Pro Regular" w:hAnsi="Source Sans Pro Regular"/>
                <w:color w:val="898D8D"/>
                <w:sz w:val="20"/>
                <w:szCs w:val="20"/>
              </w:rPr>
            </w:pPr>
          </w:p>
          <w:p w14:paraId="2B6B34D6" w14:textId="77777777" w:rsidR="00F82798" w:rsidRPr="00537917" w:rsidRDefault="000A63FB">
            <w:pPr>
              <w:pStyle w:val="Normal1"/>
              <w:rPr>
                <w:rFonts w:ascii="Source Sans Pro Regular" w:hAnsi="Source Sans Pro Regular"/>
                <w:color w:val="898D8D"/>
                <w:sz w:val="20"/>
                <w:szCs w:val="20"/>
              </w:rPr>
            </w:pPr>
            <w:r w:rsidRPr="00537917">
              <w:rPr>
                <w:rFonts w:ascii="Source Sans Pro Regular" w:hAnsi="Source Sans Pro Regular"/>
                <w:color w:val="898D8D"/>
                <w:sz w:val="20"/>
                <w:szCs w:val="20"/>
              </w:rPr>
              <w:t>Fuentes: Diagnóstico (cuadro 6.1)</w:t>
            </w:r>
          </w:p>
        </w:tc>
        <w:tc>
          <w:tcPr>
            <w:tcW w:w="4821" w:type="dxa"/>
          </w:tcPr>
          <w:p w14:paraId="76BB8310" w14:textId="77777777" w:rsidR="00787A4B" w:rsidRDefault="000A63FB" w:rsidP="00787A4B">
            <w:pPr>
              <w:pStyle w:val="Normal1"/>
              <w:numPr>
                <w:ilvl w:val="0"/>
                <w:numId w:val="9"/>
              </w:numPr>
              <w:spacing w:after="60"/>
              <w:ind w:left="414" w:hanging="414"/>
              <w:rPr>
                <w:rFonts w:ascii="Source Sans Pro Regular" w:hAnsi="Source Sans Pro Regular"/>
                <w:color w:val="898D8D"/>
                <w:sz w:val="20"/>
                <w:szCs w:val="20"/>
              </w:rPr>
            </w:pPr>
            <w:r w:rsidRPr="00537917">
              <w:rPr>
                <w:rFonts w:ascii="Source Sans Pro Regular" w:hAnsi="Source Sans Pro Regular"/>
                <w:color w:val="898D8D"/>
                <w:sz w:val="20"/>
                <w:szCs w:val="20"/>
              </w:rPr>
              <w:t>Existen 105,331 personas con 15 años o más que no saben leer ni escribir un recado, lo que equivale al 1.5% de la población en este rango de edad</w:t>
            </w:r>
            <w:r w:rsidR="0013409E">
              <w:rPr>
                <w:rFonts w:ascii="Source Sans Pro Regular" w:hAnsi="Source Sans Pro Regular"/>
                <w:color w:val="898D8D"/>
                <w:sz w:val="20"/>
                <w:szCs w:val="20"/>
              </w:rPr>
              <w:t xml:space="preserve"> (2015)</w:t>
            </w:r>
          </w:p>
          <w:p w14:paraId="6FBF6A1E" w14:textId="77777777" w:rsidR="00787A4B" w:rsidRDefault="00787A4B" w:rsidP="00787A4B">
            <w:pPr>
              <w:pStyle w:val="Normal1"/>
              <w:numPr>
                <w:ilvl w:val="0"/>
                <w:numId w:val="9"/>
              </w:numPr>
              <w:spacing w:after="60"/>
              <w:ind w:left="414" w:hanging="414"/>
              <w:rPr>
                <w:rFonts w:ascii="Source Sans Pro Regular" w:hAnsi="Source Sans Pro Regular"/>
                <w:color w:val="898D8D"/>
                <w:sz w:val="20"/>
                <w:szCs w:val="20"/>
              </w:rPr>
            </w:pPr>
            <w:r w:rsidRPr="00787A4B">
              <w:rPr>
                <w:rFonts w:ascii="Source Sans Pro Regular" w:hAnsi="Source Sans Pro Regular"/>
                <w:color w:val="898D8D"/>
                <w:sz w:val="20"/>
                <w:szCs w:val="20"/>
              </w:rPr>
              <w:t xml:space="preserve">El </w:t>
            </w:r>
            <w:r w:rsidR="000A63FB" w:rsidRPr="00787A4B">
              <w:rPr>
                <w:rFonts w:ascii="Source Sans Pro Regular" w:hAnsi="Source Sans Pro Regular"/>
                <w:color w:val="898D8D"/>
                <w:sz w:val="20"/>
                <w:szCs w:val="20"/>
              </w:rPr>
              <w:t>72% de la población analfabeta son mujeres (76,156)</w:t>
            </w:r>
            <w:r w:rsidRPr="00787A4B">
              <w:rPr>
                <w:rFonts w:ascii="Source Sans Pro Regular" w:hAnsi="Source Sans Pro Regular"/>
                <w:color w:val="898D8D"/>
                <w:sz w:val="20"/>
                <w:szCs w:val="20"/>
              </w:rPr>
              <w:t xml:space="preserve"> y </w:t>
            </w:r>
            <w:r>
              <w:rPr>
                <w:rFonts w:ascii="Source Sans Pro Regular" w:hAnsi="Source Sans Pro Regular"/>
                <w:color w:val="898D8D"/>
                <w:sz w:val="20"/>
                <w:szCs w:val="20"/>
              </w:rPr>
              <w:t xml:space="preserve">el </w:t>
            </w:r>
            <w:r w:rsidR="000A63FB" w:rsidRPr="00787A4B">
              <w:rPr>
                <w:rFonts w:ascii="Source Sans Pro Regular" w:hAnsi="Source Sans Pro Regular"/>
                <w:color w:val="898D8D"/>
                <w:sz w:val="20"/>
                <w:szCs w:val="20"/>
              </w:rPr>
              <w:t>28% son hombres (29,175)</w:t>
            </w:r>
            <w:r>
              <w:rPr>
                <w:rFonts w:ascii="Source Sans Pro Regular" w:hAnsi="Source Sans Pro Regular"/>
                <w:color w:val="898D8D"/>
                <w:sz w:val="20"/>
                <w:szCs w:val="20"/>
              </w:rPr>
              <w:t>.</w:t>
            </w:r>
          </w:p>
          <w:p w14:paraId="3C3EFDAA" w14:textId="608FCB37" w:rsidR="00F82798" w:rsidRPr="00787A4B" w:rsidRDefault="00C23E45" w:rsidP="00787A4B">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Las a</w:t>
            </w:r>
            <w:r w:rsidR="000A63FB" w:rsidRPr="00787A4B">
              <w:rPr>
                <w:rFonts w:ascii="Source Sans Pro Regular" w:hAnsi="Source Sans Pro Regular"/>
                <w:color w:val="898D8D"/>
                <w:sz w:val="20"/>
                <w:szCs w:val="20"/>
              </w:rPr>
              <w:t xml:space="preserve">lcaldías con porcentaje de población analfabeta superior al promedio </w:t>
            </w:r>
            <w:r>
              <w:rPr>
                <w:rFonts w:ascii="Source Sans Pro Regular" w:hAnsi="Source Sans Pro Regular"/>
                <w:color w:val="898D8D"/>
                <w:sz w:val="20"/>
                <w:szCs w:val="20"/>
              </w:rPr>
              <w:t xml:space="preserve">capitalino </w:t>
            </w:r>
            <w:r w:rsidR="000A63FB" w:rsidRPr="00787A4B">
              <w:rPr>
                <w:rFonts w:ascii="Source Sans Pro Regular" w:hAnsi="Source Sans Pro Regular"/>
                <w:color w:val="898D8D"/>
                <w:sz w:val="20"/>
                <w:szCs w:val="20"/>
              </w:rPr>
              <w:t>(1.5%)</w:t>
            </w:r>
            <w:r>
              <w:rPr>
                <w:rFonts w:ascii="Source Sans Pro Regular" w:hAnsi="Source Sans Pro Regular"/>
                <w:color w:val="898D8D"/>
                <w:sz w:val="20"/>
                <w:szCs w:val="20"/>
              </w:rPr>
              <w:t xml:space="preserve"> son</w:t>
            </w:r>
            <w:r w:rsidR="000A63FB" w:rsidRPr="00787A4B">
              <w:rPr>
                <w:rFonts w:ascii="Source Sans Pro Regular" w:hAnsi="Source Sans Pro Regular"/>
                <w:color w:val="898D8D"/>
                <w:sz w:val="20"/>
                <w:szCs w:val="20"/>
              </w:rPr>
              <w:t xml:space="preserve">: </w:t>
            </w:r>
          </w:p>
          <w:p w14:paraId="579634F4" w14:textId="77777777" w:rsidR="00F82798" w:rsidRPr="00537917" w:rsidRDefault="000A63FB" w:rsidP="001305AB">
            <w:pPr>
              <w:pStyle w:val="Normal1"/>
              <w:numPr>
                <w:ilvl w:val="0"/>
                <w:numId w:val="8"/>
              </w:numPr>
              <w:ind w:left="714" w:hanging="357"/>
              <w:rPr>
                <w:rFonts w:ascii="Source Sans Pro Regular" w:hAnsi="Source Sans Pro Regular"/>
                <w:color w:val="898D8D"/>
                <w:sz w:val="20"/>
                <w:szCs w:val="20"/>
              </w:rPr>
            </w:pPr>
            <w:r w:rsidRPr="00537917">
              <w:rPr>
                <w:rFonts w:ascii="Source Sans Pro Regular" w:hAnsi="Source Sans Pro Regular"/>
                <w:color w:val="898D8D"/>
                <w:sz w:val="20"/>
                <w:szCs w:val="20"/>
              </w:rPr>
              <w:t>Milpa Alta: 2.9%</w:t>
            </w:r>
          </w:p>
          <w:p w14:paraId="3926FDE8" w14:textId="7138A644" w:rsidR="00F82798" w:rsidRPr="001305AB" w:rsidRDefault="000A63FB" w:rsidP="001305AB">
            <w:pPr>
              <w:pStyle w:val="Normal1"/>
              <w:numPr>
                <w:ilvl w:val="0"/>
                <w:numId w:val="8"/>
              </w:numPr>
              <w:ind w:left="714" w:hanging="357"/>
              <w:rPr>
                <w:rFonts w:ascii="Source Sans Pro Regular" w:hAnsi="Source Sans Pro Regular"/>
                <w:color w:val="898D8D"/>
                <w:sz w:val="20"/>
                <w:szCs w:val="20"/>
              </w:rPr>
            </w:pPr>
            <w:r w:rsidRPr="001305AB">
              <w:rPr>
                <w:rFonts w:ascii="Source Sans Pro Regular" w:hAnsi="Source Sans Pro Regular"/>
                <w:color w:val="898D8D"/>
                <w:sz w:val="20"/>
                <w:szCs w:val="20"/>
              </w:rPr>
              <w:t>Xochimilco</w:t>
            </w:r>
            <w:r w:rsidR="001305AB" w:rsidRPr="001305AB">
              <w:rPr>
                <w:rFonts w:ascii="Source Sans Pro Regular" w:hAnsi="Source Sans Pro Regular"/>
                <w:color w:val="898D8D"/>
                <w:sz w:val="20"/>
                <w:szCs w:val="20"/>
              </w:rPr>
              <w:t xml:space="preserve">, </w:t>
            </w:r>
            <w:r w:rsidRPr="001305AB">
              <w:rPr>
                <w:rFonts w:ascii="Source Sans Pro Regular" w:hAnsi="Source Sans Pro Regular"/>
                <w:color w:val="898D8D"/>
                <w:sz w:val="20"/>
                <w:szCs w:val="20"/>
              </w:rPr>
              <w:t>Tláhuac</w:t>
            </w:r>
            <w:r w:rsidR="001305AB" w:rsidRPr="001305AB">
              <w:rPr>
                <w:rFonts w:ascii="Source Sans Pro Regular" w:hAnsi="Source Sans Pro Regular"/>
                <w:color w:val="898D8D"/>
                <w:sz w:val="20"/>
                <w:szCs w:val="20"/>
              </w:rPr>
              <w:t xml:space="preserve"> y </w:t>
            </w:r>
            <w:r w:rsidRPr="001305AB">
              <w:rPr>
                <w:rFonts w:ascii="Source Sans Pro Regular" w:hAnsi="Source Sans Pro Regular"/>
                <w:color w:val="898D8D"/>
                <w:sz w:val="20"/>
                <w:szCs w:val="20"/>
              </w:rPr>
              <w:t>La Magdalena Contreras</w:t>
            </w:r>
            <w:r w:rsidR="001305AB">
              <w:rPr>
                <w:rFonts w:ascii="Source Sans Pro Regular" w:hAnsi="Source Sans Pro Regular"/>
                <w:color w:val="898D8D"/>
                <w:sz w:val="20"/>
                <w:szCs w:val="20"/>
              </w:rPr>
              <w:t>:</w:t>
            </w:r>
            <w:r w:rsidRPr="001305AB">
              <w:rPr>
                <w:rFonts w:ascii="Source Sans Pro Regular" w:hAnsi="Source Sans Pro Regular"/>
                <w:color w:val="898D8D"/>
                <w:sz w:val="20"/>
                <w:szCs w:val="20"/>
              </w:rPr>
              <w:t xml:space="preserve"> 1.9%</w:t>
            </w:r>
          </w:p>
          <w:p w14:paraId="7831C230" w14:textId="578CB15F" w:rsidR="00F82798" w:rsidRPr="004F7608" w:rsidRDefault="000A63FB" w:rsidP="001305AB">
            <w:pPr>
              <w:pStyle w:val="Normal1"/>
              <w:numPr>
                <w:ilvl w:val="0"/>
                <w:numId w:val="8"/>
              </w:numPr>
              <w:ind w:left="714" w:hanging="357"/>
              <w:rPr>
                <w:rFonts w:ascii="Source Sans Pro Regular" w:hAnsi="Source Sans Pro Regular"/>
                <w:color w:val="898D8D"/>
                <w:sz w:val="20"/>
                <w:szCs w:val="20"/>
              </w:rPr>
            </w:pPr>
            <w:r w:rsidRPr="004F7608">
              <w:rPr>
                <w:rFonts w:ascii="Source Sans Pro Regular" w:hAnsi="Source Sans Pro Regular"/>
                <w:color w:val="898D8D"/>
                <w:sz w:val="20"/>
                <w:szCs w:val="20"/>
              </w:rPr>
              <w:t>Iztapalapa</w:t>
            </w:r>
            <w:r w:rsidR="004F7608" w:rsidRPr="004F7608">
              <w:rPr>
                <w:rFonts w:ascii="Source Sans Pro Regular" w:hAnsi="Source Sans Pro Regular"/>
                <w:color w:val="898D8D"/>
                <w:sz w:val="20"/>
                <w:szCs w:val="20"/>
              </w:rPr>
              <w:t xml:space="preserve"> y </w:t>
            </w:r>
            <w:r w:rsidRPr="004F7608">
              <w:rPr>
                <w:rFonts w:ascii="Source Sans Pro Regular" w:hAnsi="Source Sans Pro Regular"/>
                <w:color w:val="898D8D"/>
                <w:sz w:val="20"/>
                <w:szCs w:val="20"/>
              </w:rPr>
              <w:t>G</w:t>
            </w:r>
            <w:r w:rsidR="004F7608">
              <w:rPr>
                <w:rFonts w:ascii="Source Sans Pro Regular" w:hAnsi="Source Sans Pro Regular"/>
                <w:color w:val="898D8D"/>
                <w:sz w:val="20"/>
                <w:szCs w:val="20"/>
              </w:rPr>
              <w:t xml:space="preserve">ustavo </w:t>
            </w:r>
            <w:r w:rsidRPr="004F7608">
              <w:rPr>
                <w:rFonts w:ascii="Source Sans Pro Regular" w:hAnsi="Source Sans Pro Regular"/>
                <w:color w:val="898D8D"/>
                <w:sz w:val="20"/>
                <w:szCs w:val="20"/>
              </w:rPr>
              <w:t>A</w:t>
            </w:r>
            <w:r w:rsidR="004F7608">
              <w:rPr>
                <w:rFonts w:ascii="Source Sans Pro Regular" w:hAnsi="Source Sans Pro Regular"/>
                <w:color w:val="898D8D"/>
                <w:sz w:val="20"/>
                <w:szCs w:val="20"/>
              </w:rPr>
              <w:t xml:space="preserve">. </w:t>
            </w:r>
            <w:r w:rsidRPr="004F7608">
              <w:rPr>
                <w:rFonts w:ascii="Source Sans Pro Regular" w:hAnsi="Source Sans Pro Regular"/>
                <w:color w:val="898D8D"/>
                <w:sz w:val="20"/>
                <w:szCs w:val="20"/>
              </w:rPr>
              <w:t>M</w:t>
            </w:r>
            <w:r w:rsidR="004F7608">
              <w:rPr>
                <w:rFonts w:ascii="Source Sans Pro Regular" w:hAnsi="Source Sans Pro Regular"/>
                <w:color w:val="898D8D"/>
                <w:sz w:val="20"/>
                <w:szCs w:val="20"/>
              </w:rPr>
              <w:t>adero</w:t>
            </w:r>
            <w:r w:rsidRPr="004F7608">
              <w:rPr>
                <w:rFonts w:ascii="Source Sans Pro Regular" w:hAnsi="Source Sans Pro Regular"/>
                <w:color w:val="898D8D"/>
                <w:sz w:val="20"/>
                <w:szCs w:val="20"/>
              </w:rPr>
              <w:t>: 1.8%</w:t>
            </w:r>
          </w:p>
          <w:p w14:paraId="4B3776E0" w14:textId="123A98F3" w:rsidR="00F82798" w:rsidRPr="004F7608" w:rsidRDefault="000A63FB" w:rsidP="001305AB">
            <w:pPr>
              <w:pStyle w:val="Normal1"/>
              <w:numPr>
                <w:ilvl w:val="0"/>
                <w:numId w:val="8"/>
              </w:numPr>
              <w:ind w:left="714" w:hanging="357"/>
              <w:rPr>
                <w:rFonts w:ascii="Source Sans Pro Regular" w:hAnsi="Source Sans Pro Regular"/>
                <w:color w:val="898D8D"/>
                <w:sz w:val="20"/>
                <w:szCs w:val="20"/>
              </w:rPr>
            </w:pPr>
            <w:r w:rsidRPr="004F7608">
              <w:rPr>
                <w:rFonts w:ascii="Source Sans Pro Regular" w:hAnsi="Source Sans Pro Regular"/>
                <w:color w:val="898D8D"/>
                <w:sz w:val="20"/>
                <w:szCs w:val="20"/>
              </w:rPr>
              <w:t>Tlalpan</w:t>
            </w:r>
            <w:r w:rsidR="004F7608" w:rsidRPr="004F7608">
              <w:rPr>
                <w:rFonts w:ascii="Source Sans Pro Regular" w:hAnsi="Source Sans Pro Regular"/>
                <w:color w:val="898D8D"/>
                <w:sz w:val="20"/>
                <w:szCs w:val="20"/>
              </w:rPr>
              <w:t xml:space="preserve"> y </w:t>
            </w:r>
            <w:r w:rsidRPr="004F7608">
              <w:rPr>
                <w:rFonts w:ascii="Source Sans Pro Regular" w:hAnsi="Source Sans Pro Regular"/>
                <w:color w:val="898D8D"/>
                <w:sz w:val="20"/>
                <w:szCs w:val="20"/>
              </w:rPr>
              <w:t>Cuajimalpa: 1.7%</w:t>
            </w:r>
          </w:p>
          <w:p w14:paraId="29D84924" w14:textId="77777777" w:rsidR="00F82798" w:rsidRPr="00537917" w:rsidRDefault="000A63FB" w:rsidP="001305AB">
            <w:pPr>
              <w:pStyle w:val="Normal1"/>
              <w:numPr>
                <w:ilvl w:val="0"/>
                <w:numId w:val="8"/>
              </w:numPr>
              <w:ind w:left="714" w:hanging="357"/>
              <w:rPr>
                <w:rFonts w:ascii="Source Sans Pro Regular" w:hAnsi="Source Sans Pro Regular"/>
                <w:color w:val="898D8D"/>
                <w:sz w:val="20"/>
                <w:szCs w:val="20"/>
              </w:rPr>
            </w:pPr>
            <w:r w:rsidRPr="00537917">
              <w:rPr>
                <w:rFonts w:ascii="Source Sans Pro Regular" w:hAnsi="Source Sans Pro Regular"/>
                <w:color w:val="898D8D"/>
                <w:sz w:val="20"/>
                <w:szCs w:val="20"/>
              </w:rPr>
              <w:t>Álvaro Obregón: 1.6%</w:t>
            </w:r>
          </w:p>
          <w:p w14:paraId="697AB4C8" w14:textId="77777777" w:rsidR="00F82798" w:rsidRPr="00537917" w:rsidRDefault="00F82798">
            <w:pPr>
              <w:pStyle w:val="Normal1"/>
              <w:rPr>
                <w:rFonts w:ascii="Source Sans Pro Regular" w:hAnsi="Source Sans Pro Regular"/>
                <w:color w:val="898D8D"/>
                <w:sz w:val="20"/>
                <w:szCs w:val="20"/>
              </w:rPr>
            </w:pPr>
          </w:p>
          <w:p w14:paraId="23763A2B" w14:textId="77777777" w:rsidR="00F82798" w:rsidRPr="00537917" w:rsidRDefault="000A63FB" w:rsidP="006F521B">
            <w:pPr>
              <w:pStyle w:val="Normal1"/>
              <w:numPr>
                <w:ilvl w:val="0"/>
                <w:numId w:val="9"/>
              </w:numPr>
              <w:spacing w:after="60"/>
              <w:ind w:left="414" w:hanging="414"/>
              <w:rPr>
                <w:rFonts w:ascii="Source Sans Pro Regular" w:hAnsi="Source Sans Pro Regular"/>
                <w:color w:val="898D8D"/>
                <w:sz w:val="20"/>
                <w:szCs w:val="20"/>
              </w:rPr>
            </w:pPr>
            <w:r w:rsidRPr="00537917">
              <w:rPr>
                <w:rFonts w:ascii="Source Sans Pro Regular" w:hAnsi="Source Sans Pro Regular"/>
                <w:color w:val="898D8D"/>
                <w:sz w:val="20"/>
                <w:szCs w:val="20"/>
              </w:rPr>
              <w:t>El 58% de la población analfabeta de la Ciudad se encuentra en Iztapalapa (el 24.4%), Gustavo A. Madero (15.6%), Álvaro Obregón (9.2%) y Tlalpan (8.8%).</w:t>
            </w:r>
          </w:p>
          <w:p w14:paraId="31F3F00F" w14:textId="19664977" w:rsidR="00F82798" w:rsidRPr="00DD18EF" w:rsidRDefault="006F521B" w:rsidP="00DD18EF">
            <w:pPr>
              <w:pStyle w:val="Normal1"/>
              <w:numPr>
                <w:ilvl w:val="0"/>
                <w:numId w:val="9"/>
              </w:numPr>
              <w:spacing w:after="60"/>
              <w:ind w:left="414" w:hanging="414"/>
              <w:rPr>
                <w:rFonts w:ascii="Source Sans Pro Regular" w:hAnsi="Source Sans Pro Regular"/>
                <w:color w:val="898D8D"/>
                <w:sz w:val="20"/>
                <w:szCs w:val="20"/>
              </w:rPr>
            </w:pPr>
            <w:r w:rsidRPr="00F75D9D">
              <w:rPr>
                <w:rFonts w:ascii="Source Sans Pro Regular" w:hAnsi="Source Sans Pro Regular"/>
                <w:color w:val="898D8D"/>
                <w:sz w:val="20"/>
                <w:szCs w:val="20"/>
              </w:rPr>
              <w:t>Las a</w:t>
            </w:r>
            <w:r w:rsidR="000A63FB" w:rsidRPr="00F75D9D">
              <w:rPr>
                <w:rFonts w:ascii="Source Sans Pro Regular" w:hAnsi="Source Sans Pro Regular"/>
                <w:color w:val="898D8D"/>
                <w:sz w:val="20"/>
                <w:szCs w:val="20"/>
              </w:rPr>
              <w:t>lcaldías con mayor proporción de mujeres analfabetas respecto de su población de mujeres</w:t>
            </w:r>
            <w:r w:rsidR="00F75D9D" w:rsidRPr="00F75D9D">
              <w:rPr>
                <w:rFonts w:ascii="Source Sans Pro Regular" w:hAnsi="Source Sans Pro Regular"/>
                <w:color w:val="898D8D"/>
                <w:sz w:val="20"/>
                <w:szCs w:val="20"/>
              </w:rPr>
              <w:t xml:space="preserve"> son</w:t>
            </w:r>
            <w:r w:rsidR="000A63FB" w:rsidRPr="00F75D9D">
              <w:rPr>
                <w:rFonts w:ascii="Source Sans Pro Regular" w:hAnsi="Source Sans Pro Regular"/>
                <w:color w:val="898D8D"/>
                <w:sz w:val="20"/>
                <w:szCs w:val="20"/>
              </w:rPr>
              <w:t>:</w:t>
            </w:r>
            <w:r w:rsidR="00DD18EF">
              <w:rPr>
                <w:rFonts w:ascii="Source Sans Pro Regular" w:hAnsi="Source Sans Pro Regular"/>
                <w:color w:val="898D8D"/>
                <w:sz w:val="20"/>
                <w:szCs w:val="20"/>
              </w:rPr>
              <w:t xml:space="preserve"> </w:t>
            </w:r>
            <w:r w:rsidR="00F75D9D" w:rsidRPr="00DD18EF">
              <w:rPr>
                <w:rFonts w:ascii="Source Sans Pro Regular" w:hAnsi="Source Sans Pro Regular"/>
                <w:color w:val="898D8D"/>
                <w:sz w:val="20"/>
                <w:szCs w:val="20"/>
              </w:rPr>
              <w:t>Milpa Alta (</w:t>
            </w:r>
            <w:r w:rsidR="000A63FB" w:rsidRPr="00DD18EF">
              <w:rPr>
                <w:rFonts w:ascii="Source Sans Pro Regular" w:hAnsi="Source Sans Pro Regular"/>
                <w:color w:val="898D8D"/>
                <w:sz w:val="20"/>
                <w:szCs w:val="20"/>
              </w:rPr>
              <w:t>3.6%</w:t>
            </w:r>
            <w:r w:rsidR="00DD18EF">
              <w:rPr>
                <w:rFonts w:ascii="Source Sans Pro Regular" w:hAnsi="Source Sans Pro Regular"/>
                <w:color w:val="898D8D"/>
                <w:sz w:val="20"/>
                <w:szCs w:val="20"/>
              </w:rPr>
              <w:t xml:space="preserve">); </w:t>
            </w:r>
            <w:r w:rsidR="000A63FB" w:rsidRPr="00DD18EF">
              <w:rPr>
                <w:rFonts w:ascii="Source Sans Pro Regular" w:hAnsi="Source Sans Pro Regular"/>
                <w:color w:val="898D8D"/>
                <w:sz w:val="20"/>
                <w:szCs w:val="20"/>
              </w:rPr>
              <w:t>Tláhuac</w:t>
            </w:r>
            <w:r w:rsidR="00DD18EF">
              <w:rPr>
                <w:rFonts w:ascii="Source Sans Pro Regular" w:hAnsi="Source Sans Pro Regular"/>
                <w:color w:val="898D8D"/>
                <w:sz w:val="20"/>
                <w:szCs w:val="20"/>
              </w:rPr>
              <w:t xml:space="preserve"> (</w:t>
            </w:r>
            <w:r w:rsidR="000A63FB" w:rsidRPr="00DD18EF">
              <w:rPr>
                <w:rFonts w:ascii="Source Sans Pro Regular" w:hAnsi="Source Sans Pro Regular"/>
                <w:color w:val="898D8D"/>
                <w:sz w:val="20"/>
                <w:szCs w:val="20"/>
              </w:rPr>
              <w:t>2.6%</w:t>
            </w:r>
            <w:r w:rsidR="00DD18EF">
              <w:rPr>
                <w:rFonts w:ascii="Source Sans Pro Regular" w:hAnsi="Source Sans Pro Regular"/>
                <w:color w:val="898D8D"/>
                <w:sz w:val="20"/>
                <w:szCs w:val="20"/>
              </w:rPr>
              <w:t xml:space="preserve">); </w:t>
            </w:r>
            <w:r w:rsidR="000A63FB" w:rsidRPr="00DD18EF">
              <w:rPr>
                <w:rFonts w:ascii="Source Sans Pro Regular" w:hAnsi="Source Sans Pro Regular"/>
                <w:color w:val="898D8D"/>
                <w:sz w:val="20"/>
                <w:szCs w:val="20"/>
              </w:rPr>
              <w:t>Xochimilco</w:t>
            </w:r>
            <w:r w:rsidR="00DD18EF">
              <w:rPr>
                <w:rFonts w:ascii="Source Sans Pro Regular" w:hAnsi="Source Sans Pro Regular"/>
                <w:color w:val="898D8D"/>
                <w:sz w:val="20"/>
                <w:szCs w:val="20"/>
              </w:rPr>
              <w:t xml:space="preserve"> e Iztapalapa (</w:t>
            </w:r>
            <w:r w:rsidR="000A63FB" w:rsidRPr="00DD18EF">
              <w:rPr>
                <w:rFonts w:ascii="Source Sans Pro Regular" w:hAnsi="Source Sans Pro Regular"/>
                <w:color w:val="898D8D"/>
                <w:sz w:val="20"/>
                <w:szCs w:val="20"/>
              </w:rPr>
              <w:t xml:space="preserve">2.5% </w:t>
            </w:r>
            <w:r w:rsidR="00DD18EF">
              <w:rPr>
                <w:rFonts w:ascii="Source Sans Pro Regular" w:hAnsi="Source Sans Pro Regular"/>
                <w:color w:val="898D8D"/>
                <w:sz w:val="20"/>
                <w:szCs w:val="20"/>
              </w:rPr>
              <w:t>en cada caso); y Tlalpan y La Magdalena Contreras (</w:t>
            </w:r>
            <w:r w:rsidR="000A63FB" w:rsidRPr="00DD18EF">
              <w:rPr>
                <w:rFonts w:ascii="Source Sans Pro Regular" w:hAnsi="Source Sans Pro Regular"/>
                <w:color w:val="898D8D"/>
                <w:sz w:val="20"/>
                <w:szCs w:val="20"/>
              </w:rPr>
              <w:t>2.4%</w:t>
            </w:r>
            <w:r w:rsidR="00DD18EF">
              <w:rPr>
                <w:rFonts w:ascii="Source Sans Pro Regular" w:hAnsi="Source Sans Pro Regular"/>
                <w:color w:val="898D8D"/>
                <w:sz w:val="20"/>
                <w:szCs w:val="20"/>
              </w:rPr>
              <w:t xml:space="preserve"> en cada caso).</w:t>
            </w:r>
          </w:p>
          <w:p w14:paraId="2EE24E89" w14:textId="436CCB8C" w:rsidR="00F82798" w:rsidRPr="007C0DC8" w:rsidRDefault="007C0DC8" w:rsidP="00CB5FFC">
            <w:pPr>
              <w:pStyle w:val="Normal1"/>
              <w:numPr>
                <w:ilvl w:val="0"/>
                <w:numId w:val="9"/>
              </w:numPr>
              <w:spacing w:after="60"/>
              <w:ind w:left="414" w:hanging="414"/>
              <w:rPr>
                <w:rFonts w:ascii="Source Sans Pro Regular" w:hAnsi="Source Sans Pro Regular"/>
                <w:color w:val="898D8D"/>
                <w:sz w:val="20"/>
                <w:szCs w:val="20"/>
              </w:rPr>
            </w:pPr>
            <w:r w:rsidRPr="007C0DC8">
              <w:rPr>
                <w:rFonts w:ascii="Source Sans Pro Regular" w:hAnsi="Source Sans Pro Regular"/>
                <w:color w:val="898D8D"/>
                <w:sz w:val="20"/>
                <w:szCs w:val="20"/>
              </w:rPr>
              <w:t>La a</w:t>
            </w:r>
            <w:r w:rsidR="000A63FB" w:rsidRPr="007C0DC8">
              <w:rPr>
                <w:rFonts w:ascii="Source Sans Pro Regular" w:hAnsi="Source Sans Pro Regular"/>
                <w:color w:val="898D8D"/>
                <w:sz w:val="20"/>
                <w:szCs w:val="20"/>
              </w:rPr>
              <w:t>lcaldía con mayor proporción de hombres analfabetas respecto de su población de hombres</w:t>
            </w:r>
            <w:r w:rsidRPr="007C0DC8">
              <w:rPr>
                <w:rFonts w:ascii="Source Sans Pro Regular" w:hAnsi="Source Sans Pro Regular"/>
                <w:color w:val="898D8D"/>
                <w:sz w:val="20"/>
                <w:szCs w:val="20"/>
              </w:rPr>
              <w:t xml:space="preserve"> es </w:t>
            </w:r>
            <w:r>
              <w:rPr>
                <w:rFonts w:ascii="Source Sans Pro Regular" w:hAnsi="Source Sans Pro Regular"/>
                <w:color w:val="898D8D"/>
                <w:sz w:val="20"/>
                <w:szCs w:val="20"/>
              </w:rPr>
              <w:t>Milpa Alta</w:t>
            </w:r>
            <w:r w:rsidR="00CB5FFC">
              <w:rPr>
                <w:rFonts w:ascii="Source Sans Pro Regular" w:hAnsi="Source Sans Pro Regular"/>
                <w:color w:val="898D8D"/>
                <w:sz w:val="20"/>
                <w:szCs w:val="20"/>
              </w:rPr>
              <w:t xml:space="preserve"> (</w:t>
            </w:r>
            <w:r>
              <w:rPr>
                <w:rFonts w:ascii="Source Sans Pro Regular" w:hAnsi="Source Sans Pro Regular"/>
                <w:color w:val="898D8D"/>
                <w:sz w:val="20"/>
                <w:szCs w:val="20"/>
              </w:rPr>
              <w:t>2.2%</w:t>
            </w:r>
            <w:r w:rsidR="00CB5FFC">
              <w:rPr>
                <w:rFonts w:ascii="Source Sans Pro Regular" w:hAnsi="Source Sans Pro Regular"/>
                <w:color w:val="898D8D"/>
                <w:sz w:val="20"/>
                <w:szCs w:val="20"/>
              </w:rPr>
              <w:t>).</w:t>
            </w:r>
          </w:p>
        </w:tc>
        <w:tc>
          <w:tcPr>
            <w:tcW w:w="3117" w:type="dxa"/>
          </w:tcPr>
          <w:p w14:paraId="3AEBA34E" w14:textId="77777777" w:rsidR="00F82798" w:rsidRPr="002C0FBF" w:rsidRDefault="00F82798">
            <w:pPr>
              <w:pStyle w:val="Normal1"/>
              <w:rPr>
                <w:rFonts w:ascii="Source Sans Pro Regular" w:hAnsi="Source Sans Pro Regular"/>
                <w:color w:val="898D8D"/>
                <w:sz w:val="20"/>
                <w:szCs w:val="20"/>
                <w:highlight w:val="green"/>
              </w:rPr>
            </w:pPr>
          </w:p>
        </w:tc>
      </w:tr>
      <w:tr w:rsidR="00F82798" w:rsidRPr="002C0FBF" w14:paraId="0C6A8AA3" w14:textId="77777777" w:rsidTr="004D43EE">
        <w:tc>
          <w:tcPr>
            <w:tcW w:w="2174" w:type="dxa"/>
          </w:tcPr>
          <w:p w14:paraId="6C4FC9FC" w14:textId="77777777" w:rsidR="00F82798" w:rsidRPr="00537917" w:rsidRDefault="000A63FB">
            <w:pPr>
              <w:pStyle w:val="Normal1"/>
              <w:rPr>
                <w:rFonts w:ascii="Source Sans Pro Regular" w:hAnsi="Source Sans Pro Regular"/>
                <w:b/>
                <w:color w:val="898D8D"/>
                <w:sz w:val="20"/>
                <w:szCs w:val="20"/>
              </w:rPr>
            </w:pPr>
            <w:r w:rsidRPr="00537917">
              <w:rPr>
                <w:rFonts w:ascii="Source Sans Pro Regular" w:hAnsi="Source Sans Pro Regular"/>
                <w:b/>
                <w:color w:val="898D8D"/>
                <w:sz w:val="20"/>
                <w:szCs w:val="20"/>
              </w:rPr>
              <w:t xml:space="preserve">Analfabetismo entre población adulta mayor </w:t>
            </w:r>
          </w:p>
          <w:p w14:paraId="4C04CAD9" w14:textId="77777777" w:rsidR="00F82798" w:rsidRPr="00537917" w:rsidRDefault="00F82798">
            <w:pPr>
              <w:pStyle w:val="Normal1"/>
              <w:rPr>
                <w:rFonts w:ascii="Source Sans Pro Regular" w:hAnsi="Source Sans Pro Regular"/>
                <w:color w:val="898D8D"/>
                <w:sz w:val="20"/>
                <w:szCs w:val="20"/>
              </w:rPr>
            </w:pPr>
          </w:p>
          <w:p w14:paraId="6EE6BBE0" w14:textId="77777777" w:rsidR="00F82798" w:rsidRPr="00537917" w:rsidRDefault="000A63FB">
            <w:pPr>
              <w:pStyle w:val="Normal1"/>
              <w:rPr>
                <w:rFonts w:ascii="Source Sans Pro Regular" w:hAnsi="Source Sans Pro Regular"/>
                <w:color w:val="898D8D"/>
                <w:sz w:val="20"/>
                <w:szCs w:val="20"/>
              </w:rPr>
            </w:pPr>
            <w:r w:rsidRPr="00537917">
              <w:rPr>
                <w:rFonts w:ascii="Source Sans Pro Regular" w:hAnsi="Source Sans Pro Regular"/>
                <w:color w:val="898D8D"/>
                <w:sz w:val="20"/>
                <w:szCs w:val="20"/>
              </w:rPr>
              <w:lastRenderedPageBreak/>
              <w:t>Fuente: Diagnóstico (cuadro 6.2)</w:t>
            </w:r>
          </w:p>
        </w:tc>
        <w:tc>
          <w:tcPr>
            <w:tcW w:w="4821" w:type="dxa"/>
          </w:tcPr>
          <w:p w14:paraId="24C2606F" w14:textId="3D9638F3" w:rsidR="00F82798" w:rsidRPr="00537917" w:rsidRDefault="000A63FB" w:rsidP="004863B9">
            <w:pPr>
              <w:pStyle w:val="Normal1"/>
              <w:numPr>
                <w:ilvl w:val="0"/>
                <w:numId w:val="9"/>
              </w:numPr>
              <w:spacing w:after="60"/>
              <w:ind w:left="414" w:hanging="414"/>
              <w:rPr>
                <w:rFonts w:ascii="Source Sans Pro Regular" w:hAnsi="Source Sans Pro Regular"/>
                <w:color w:val="898D8D"/>
                <w:sz w:val="20"/>
                <w:szCs w:val="20"/>
              </w:rPr>
            </w:pPr>
            <w:r w:rsidRPr="00537917">
              <w:rPr>
                <w:rFonts w:ascii="Source Sans Pro Regular" w:hAnsi="Source Sans Pro Regular"/>
                <w:color w:val="898D8D"/>
                <w:sz w:val="20"/>
                <w:szCs w:val="20"/>
              </w:rPr>
              <w:lastRenderedPageBreak/>
              <w:t>El porcentaje de analfabetismo entre la población adulta mayor (60 años y más) es 5.3%, equivalente a 66,328 personas</w:t>
            </w:r>
            <w:r w:rsidR="004863B9">
              <w:rPr>
                <w:rFonts w:ascii="Source Sans Pro Regular" w:hAnsi="Source Sans Pro Regular"/>
                <w:color w:val="898D8D"/>
                <w:sz w:val="20"/>
                <w:szCs w:val="20"/>
              </w:rPr>
              <w:t xml:space="preserve"> (2015)</w:t>
            </w:r>
            <w:r w:rsidRPr="00537917">
              <w:rPr>
                <w:rFonts w:ascii="Source Sans Pro Regular" w:hAnsi="Source Sans Pro Regular"/>
                <w:color w:val="898D8D"/>
                <w:sz w:val="20"/>
                <w:szCs w:val="20"/>
              </w:rPr>
              <w:t>.</w:t>
            </w:r>
          </w:p>
          <w:p w14:paraId="51EB11B9" w14:textId="77777777" w:rsidR="00F82798" w:rsidRPr="00537917" w:rsidRDefault="000A63FB" w:rsidP="004863B9">
            <w:pPr>
              <w:pStyle w:val="Normal1"/>
              <w:numPr>
                <w:ilvl w:val="0"/>
                <w:numId w:val="9"/>
              </w:numPr>
              <w:spacing w:after="60"/>
              <w:ind w:left="414" w:hanging="414"/>
              <w:rPr>
                <w:rFonts w:ascii="Source Sans Pro Regular" w:hAnsi="Source Sans Pro Regular"/>
                <w:color w:val="898D8D"/>
                <w:sz w:val="20"/>
                <w:szCs w:val="20"/>
              </w:rPr>
            </w:pPr>
            <w:r w:rsidRPr="00537917">
              <w:rPr>
                <w:rFonts w:ascii="Source Sans Pro Regular" w:hAnsi="Source Sans Pro Regular"/>
                <w:color w:val="898D8D"/>
                <w:sz w:val="20"/>
                <w:szCs w:val="20"/>
              </w:rPr>
              <w:lastRenderedPageBreak/>
              <w:t>Entre la población adulta mayor, el porcentaje de analfabetismo es 2.7% entre los hombres y 7.2% entre las mujeres.</w:t>
            </w:r>
          </w:p>
        </w:tc>
        <w:tc>
          <w:tcPr>
            <w:tcW w:w="3117" w:type="dxa"/>
          </w:tcPr>
          <w:p w14:paraId="4213CB49" w14:textId="77777777" w:rsidR="00F82798" w:rsidRPr="00537917" w:rsidRDefault="00F82798">
            <w:pPr>
              <w:pStyle w:val="Normal1"/>
              <w:rPr>
                <w:rFonts w:ascii="Source Sans Pro Regular" w:hAnsi="Source Sans Pro Regular"/>
                <w:color w:val="898D8D"/>
                <w:sz w:val="20"/>
                <w:szCs w:val="20"/>
              </w:rPr>
            </w:pPr>
          </w:p>
        </w:tc>
      </w:tr>
      <w:tr w:rsidR="00F82798" w:rsidRPr="002C0FBF" w14:paraId="325D0062" w14:textId="77777777" w:rsidTr="004D43EE">
        <w:tc>
          <w:tcPr>
            <w:tcW w:w="2174" w:type="dxa"/>
          </w:tcPr>
          <w:p w14:paraId="6E553DE5" w14:textId="77777777" w:rsidR="00F82798" w:rsidRPr="00537917" w:rsidRDefault="000A63FB">
            <w:pPr>
              <w:pStyle w:val="Normal1"/>
              <w:rPr>
                <w:rFonts w:ascii="Source Sans Pro Regular" w:hAnsi="Source Sans Pro Regular"/>
                <w:b/>
                <w:color w:val="898D8D"/>
                <w:sz w:val="20"/>
                <w:szCs w:val="20"/>
              </w:rPr>
            </w:pPr>
            <w:r w:rsidRPr="00537917">
              <w:rPr>
                <w:rFonts w:ascii="Source Sans Pro Regular" w:hAnsi="Source Sans Pro Regular"/>
                <w:b/>
                <w:color w:val="898D8D"/>
                <w:sz w:val="20"/>
                <w:szCs w:val="20"/>
              </w:rPr>
              <w:t>Analfabetismo entre población indígena</w:t>
            </w:r>
          </w:p>
          <w:p w14:paraId="57345A40" w14:textId="77777777" w:rsidR="00F82798" w:rsidRPr="00537917" w:rsidRDefault="00F82798">
            <w:pPr>
              <w:pStyle w:val="Normal1"/>
              <w:rPr>
                <w:rFonts w:ascii="Source Sans Pro Regular" w:hAnsi="Source Sans Pro Regular"/>
                <w:color w:val="898D8D"/>
                <w:sz w:val="20"/>
                <w:szCs w:val="20"/>
              </w:rPr>
            </w:pPr>
          </w:p>
          <w:p w14:paraId="0E771DFF" w14:textId="77777777" w:rsidR="00F82798" w:rsidRPr="00537917" w:rsidRDefault="000A63FB">
            <w:pPr>
              <w:pStyle w:val="Normal1"/>
              <w:rPr>
                <w:rFonts w:ascii="Source Sans Pro Regular" w:hAnsi="Source Sans Pro Regular"/>
                <w:color w:val="898D8D"/>
                <w:sz w:val="20"/>
                <w:szCs w:val="20"/>
              </w:rPr>
            </w:pPr>
            <w:r w:rsidRPr="00537917">
              <w:rPr>
                <w:rFonts w:ascii="Source Sans Pro Regular" w:hAnsi="Source Sans Pro Regular"/>
                <w:color w:val="898D8D"/>
                <w:sz w:val="20"/>
                <w:szCs w:val="20"/>
              </w:rPr>
              <w:t>Fuente: Diagnóstico (página 267)</w:t>
            </w:r>
          </w:p>
        </w:tc>
        <w:tc>
          <w:tcPr>
            <w:tcW w:w="4821" w:type="dxa"/>
          </w:tcPr>
          <w:p w14:paraId="4724A80E" w14:textId="77777777" w:rsidR="004E461F" w:rsidRDefault="000A63FB" w:rsidP="002012E4">
            <w:pPr>
              <w:pStyle w:val="Normal1"/>
              <w:numPr>
                <w:ilvl w:val="0"/>
                <w:numId w:val="9"/>
              </w:numPr>
              <w:spacing w:after="60"/>
              <w:ind w:left="414" w:hanging="414"/>
              <w:rPr>
                <w:rFonts w:ascii="Source Sans Pro Regular" w:hAnsi="Source Sans Pro Regular"/>
                <w:color w:val="898D8D"/>
                <w:sz w:val="20"/>
                <w:szCs w:val="20"/>
              </w:rPr>
            </w:pPr>
            <w:r w:rsidRPr="00537917">
              <w:rPr>
                <w:rFonts w:ascii="Source Sans Pro Regular" w:hAnsi="Source Sans Pro Regular"/>
                <w:color w:val="898D8D"/>
                <w:sz w:val="20"/>
                <w:szCs w:val="20"/>
              </w:rPr>
              <w:t xml:space="preserve">(2015) El porcentaje de analfabetismo entre la población indígena es 8.3%, muy por encima del </w:t>
            </w:r>
            <w:r w:rsidR="002012E4">
              <w:rPr>
                <w:rFonts w:ascii="Source Sans Pro Regular" w:hAnsi="Source Sans Pro Regular"/>
                <w:color w:val="898D8D"/>
                <w:sz w:val="20"/>
                <w:szCs w:val="20"/>
              </w:rPr>
              <w:t>promedio capitalino (</w:t>
            </w:r>
            <w:r w:rsidRPr="00537917">
              <w:rPr>
                <w:rFonts w:ascii="Source Sans Pro Regular" w:hAnsi="Source Sans Pro Regular"/>
                <w:color w:val="898D8D"/>
                <w:sz w:val="20"/>
                <w:szCs w:val="20"/>
              </w:rPr>
              <w:t>1.5%</w:t>
            </w:r>
            <w:r w:rsidR="002012E4">
              <w:rPr>
                <w:rFonts w:ascii="Source Sans Pro Regular" w:hAnsi="Source Sans Pro Regular"/>
                <w:color w:val="898D8D"/>
                <w:sz w:val="20"/>
                <w:szCs w:val="20"/>
              </w:rPr>
              <w:t>)</w:t>
            </w:r>
            <w:r w:rsidRPr="00537917">
              <w:rPr>
                <w:rFonts w:ascii="Source Sans Pro Regular" w:hAnsi="Source Sans Pro Regular"/>
                <w:color w:val="898D8D"/>
                <w:sz w:val="20"/>
                <w:szCs w:val="20"/>
              </w:rPr>
              <w:t>.</w:t>
            </w:r>
            <w:r w:rsidR="002012E4">
              <w:rPr>
                <w:rFonts w:ascii="Source Sans Pro Regular" w:hAnsi="Source Sans Pro Regular"/>
                <w:color w:val="898D8D"/>
                <w:sz w:val="20"/>
                <w:szCs w:val="20"/>
              </w:rPr>
              <w:t xml:space="preserve"> </w:t>
            </w:r>
          </w:p>
          <w:p w14:paraId="7CBBF45D" w14:textId="547CF766" w:rsidR="00F82798" w:rsidRPr="00537917" w:rsidRDefault="004E461F" w:rsidP="004E461F">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C</w:t>
            </w:r>
            <w:r w:rsidR="000A63FB" w:rsidRPr="00537917">
              <w:rPr>
                <w:rFonts w:ascii="Source Sans Pro Regular" w:hAnsi="Source Sans Pro Regular"/>
                <w:color w:val="898D8D"/>
                <w:sz w:val="20"/>
                <w:szCs w:val="20"/>
              </w:rPr>
              <w:t xml:space="preserve">asi la décima parte de la población analfabeta de la Ciudad es indígena. </w:t>
            </w:r>
          </w:p>
        </w:tc>
        <w:tc>
          <w:tcPr>
            <w:tcW w:w="3117" w:type="dxa"/>
          </w:tcPr>
          <w:p w14:paraId="519A9543" w14:textId="77777777" w:rsidR="00F82798" w:rsidRPr="00537917" w:rsidRDefault="00F82798">
            <w:pPr>
              <w:pStyle w:val="Normal1"/>
              <w:rPr>
                <w:rFonts w:ascii="Source Sans Pro Regular" w:hAnsi="Source Sans Pro Regular"/>
                <w:color w:val="898D8D"/>
                <w:sz w:val="20"/>
                <w:szCs w:val="20"/>
              </w:rPr>
            </w:pPr>
          </w:p>
        </w:tc>
      </w:tr>
      <w:tr w:rsidR="00F82798" w:rsidRPr="002C0FBF" w14:paraId="792ED44F" w14:textId="77777777" w:rsidTr="004D43EE">
        <w:tc>
          <w:tcPr>
            <w:tcW w:w="2174" w:type="dxa"/>
          </w:tcPr>
          <w:p w14:paraId="34E48FA9" w14:textId="77777777" w:rsidR="00F82798" w:rsidRPr="00537917" w:rsidRDefault="000A63FB">
            <w:pPr>
              <w:pStyle w:val="Normal1"/>
              <w:rPr>
                <w:rFonts w:ascii="Source Sans Pro Regular" w:hAnsi="Source Sans Pro Regular"/>
                <w:b/>
                <w:color w:val="898D8D"/>
                <w:sz w:val="20"/>
                <w:szCs w:val="20"/>
              </w:rPr>
            </w:pPr>
            <w:r w:rsidRPr="00537917">
              <w:rPr>
                <w:rFonts w:ascii="Source Sans Pro Regular" w:hAnsi="Source Sans Pro Regular"/>
                <w:b/>
                <w:color w:val="898D8D"/>
                <w:sz w:val="20"/>
                <w:szCs w:val="20"/>
              </w:rPr>
              <w:t xml:space="preserve">Promedio de años de escolaridad </w:t>
            </w:r>
          </w:p>
          <w:p w14:paraId="3F681AFD" w14:textId="77777777" w:rsidR="00F82798" w:rsidRPr="00537917" w:rsidRDefault="00F82798">
            <w:pPr>
              <w:pStyle w:val="Normal1"/>
              <w:rPr>
                <w:rFonts w:ascii="Source Sans Pro Regular" w:hAnsi="Source Sans Pro Regular"/>
                <w:color w:val="898D8D"/>
                <w:sz w:val="20"/>
                <w:szCs w:val="20"/>
              </w:rPr>
            </w:pPr>
          </w:p>
          <w:p w14:paraId="17E03886" w14:textId="77777777" w:rsidR="00F82798" w:rsidRPr="00537917" w:rsidRDefault="000A63FB">
            <w:pPr>
              <w:pStyle w:val="Normal1"/>
              <w:rPr>
                <w:rFonts w:ascii="Source Sans Pro Regular" w:hAnsi="Source Sans Pro Regular"/>
                <w:color w:val="898D8D"/>
                <w:sz w:val="20"/>
                <w:szCs w:val="20"/>
              </w:rPr>
            </w:pPr>
            <w:r w:rsidRPr="00537917">
              <w:rPr>
                <w:rFonts w:ascii="Source Sans Pro Regular" w:hAnsi="Source Sans Pro Regular"/>
                <w:color w:val="898D8D"/>
                <w:sz w:val="20"/>
                <w:szCs w:val="20"/>
              </w:rPr>
              <w:t>Fuente: Diagnóstico (cuadro 6.3)</w:t>
            </w:r>
          </w:p>
        </w:tc>
        <w:tc>
          <w:tcPr>
            <w:tcW w:w="4821" w:type="dxa"/>
          </w:tcPr>
          <w:p w14:paraId="0FE533A4" w14:textId="75F32250" w:rsidR="00F82798" w:rsidRPr="00537917" w:rsidRDefault="000A63FB" w:rsidP="00FE39D7">
            <w:pPr>
              <w:pStyle w:val="Normal1"/>
              <w:numPr>
                <w:ilvl w:val="0"/>
                <w:numId w:val="9"/>
              </w:numPr>
              <w:spacing w:after="60"/>
              <w:ind w:left="414" w:hanging="414"/>
              <w:rPr>
                <w:rFonts w:ascii="Source Sans Pro Regular" w:hAnsi="Source Sans Pro Regular"/>
                <w:color w:val="898D8D"/>
                <w:sz w:val="20"/>
                <w:szCs w:val="20"/>
              </w:rPr>
            </w:pPr>
            <w:r w:rsidRPr="00537917">
              <w:rPr>
                <w:rFonts w:ascii="Source Sans Pro Regular" w:hAnsi="Source Sans Pro Regular"/>
                <w:color w:val="898D8D"/>
                <w:sz w:val="20"/>
                <w:szCs w:val="20"/>
              </w:rPr>
              <w:t xml:space="preserve">El promedio de años de escolaridad entre la población de 15 años y más es 11.1, equivalente a </w:t>
            </w:r>
            <w:r w:rsidR="004D68B5">
              <w:rPr>
                <w:rFonts w:ascii="Source Sans Pro Regular" w:hAnsi="Source Sans Pro Regular"/>
                <w:color w:val="898D8D"/>
                <w:sz w:val="20"/>
                <w:szCs w:val="20"/>
              </w:rPr>
              <w:t xml:space="preserve">educación media superior </w:t>
            </w:r>
            <w:r w:rsidRPr="00537917">
              <w:rPr>
                <w:rFonts w:ascii="Source Sans Pro Regular" w:hAnsi="Source Sans Pro Regular"/>
                <w:color w:val="898D8D"/>
                <w:sz w:val="20"/>
                <w:szCs w:val="20"/>
              </w:rPr>
              <w:t xml:space="preserve">incompleta (11.4 </w:t>
            </w:r>
            <w:r w:rsidR="004D68B5">
              <w:rPr>
                <w:rFonts w:ascii="Source Sans Pro Regular" w:hAnsi="Source Sans Pro Regular"/>
                <w:color w:val="898D8D"/>
                <w:sz w:val="20"/>
                <w:szCs w:val="20"/>
              </w:rPr>
              <w:t xml:space="preserve">años </w:t>
            </w:r>
            <w:r w:rsidRPr="00537917">
              <w:rPr>
                <w:rFonts w:ascii="Source Sans Pro Regular" w:hAnsi="Source Sans Pro Regular"/>
                <w:color w:val="898D8D"/>
                <w:sz w:val="20"/>
                <w:szCs w:val="20"/>
              </w:rPr>
              <w:t xml:space="preserve">para los hombres y 10.8 </w:t>
            </w:r>
            <w:r w:rsidR="004D68B5">
              <w:rPr>
                <w:rFonts w:ascii="Source Sans Pro Regular" w:hAnsi="Source Sans Pro Regular"/>
                <w:color w:val="898D8D"/>
                <w:sz w:val="20"/>
                <w:szCs w:val="20"/>
              </w:rPr>
              <w:t>años para las mujeres) (2015).</w:t>
            </w:r>
          </w:p>
          <w:p w14:paraId="3ED3DFDA" w14:textId="22C9DCAD" w:rsidR="00F82798" w:rsidRPr="00537917" w:rsidRDefault="000A63FB" w:rsidP="00FE39D7">
            <w:pPr>
              <w:pStyle w:val="Normal1"/>
              <w:numPr>
                <w:ilvl w:val="0"/>
                <w:numId w:val="9"/>
              </w:numPr>
              <w:spacing w:after="60"/>
              <w:ind w:left="414" w:hanging="414"/>
              <w:rPr>
                <w:rFonts w:ascii="Source Sans Pro Regular" w:hAnsi="Source Sans Pro Regular"/>
                <w:color w:val="898D8D"/>
                <w:sz w:val="20"/>
                <w:szCs w:val="20"/>
              </w:rPr>
            </w:pPr>
            <w:r w:rsidRPr="00537917">
              <w:rPr>
                <w:rFonts w:ascii="Source Sans Pro Regular" w:hAnsi="Source Sans Pro Regular"/>
                <w:color w:val="898D8D"/>
                <w:sz w:val="20"/>
                <w:szCs w:val="20"/>
              </w:rPr>
              <w:t>Entre la población adulta mayor, el promedio de años de escolaridad es 8.7 (equivalente a secundaria incompleta)</w:t>
            </w:r>
            <w:r w:rsidR="004D68B5">
              <w:rPr>
                <w:rFonts w:ascii="Source Sans Pro Regular" w:hAnsi="Source Sans Pro Regular"/>
                <w:color w:val="898D8D"/>
                <w:sz w:val="20"/>
                <w:szCs w:val="20"/>
              </w:rPr>
              <w:t>;</w:t>
            </w:r>
            <w:r w:rsidRPr="00537917">
              <w:rPr>
                <w:rFonts w:ascii="Source Sans Pro Regular" w:hAnsi="Source Sans Pro Regular"/>
                <w:color w:val="898D8D"/>
                <w:sz w:val="20"/>
                <w:szCs w:val="20"/>
              </w:rPr>
              <w:t xml:space="preserve"> 9.8 para los hombres y 7.9 para las mujeres.</w:t>
            </w:r>
          </w:p>
          <w:p w14:paraId="5EAE634B" w14:textId="32D05B09" w:rsidR="00F82798" w:rsidRPr="00537917" w:rsidRDefault="000A63FB" w:rsidP="004D68B5">
            <w:pPr>
              <w:pStyle w:val="Normal1"/>
              <w:numPr>
                <w:ilvl w:val="0"/>
                <w:numId w:val="9"/>
              </w:numPr>
              <w:spacing w:after="60"/>
              <w:ind w:left="414" w:hanging="414"/>
              <w:rPr>
                <w:rFonts w:ascii="Source Sans Pro Regular" w:hAnsi="Source Sans Pro Regular"/>
                <w:color w:val="898D8D"/>
                <w:sz w:val="20"/>
                <w:szCs w:val="20"/>
              </w:rPr>
            </w:pPr>
            <w:r w:rsidRPr="00537917">
              <w:rPr>
                <w:rFonts w:ascii="Source Sans Pro Regular" w:hAnsi="Source Sans Pro Regular"/>
                <w:color w:val="898D8D"/>
                <w:sz w:val="20"/>
                <w:szCs w:val="20"/>
              </w:rPr>
              <w:t>Entre la población hablante de lengua indígena (con 15 años y más), el promedio es de 7.6 años (secundaria incompleta)</w:t>
            </w:r>
            <w:r w:rsidR="004D68B5">
              <w:rPr>
                <w:rFonts w:ascii="Source Sans Pro Regular" w:hAnsi="Source Sans Pro Regular"/>
                <w:color w:val="898D8D"/>
                <w:sz w:val="20"/>
                <w:szCs w:val="20"/>
              </w:rPr>
              <w:t>;</w:t>
            </w:r>
            <w:r w:rsidRPr="00537917">
              <w:rPr>
                <w:rFonts w:ascii="Source Sans Pro Regular" w:hAnsi="Source Sans Pro Regular"/>
                <w:color w:val="898D8D"/>
                <w:sz w:val="20"/>
                <w:szCs w:val="20"/>
              </w:rPr>
              <w:t xml:space="preserve"> 8.4 para los hombres y 6.8 para las mujeres. </w:t>
            </w:r>
          </w:p>
        </w:tc>
        <w:tc>
          <w:tcPr>
            <w:tcW w:w="3117" w:type="dxa"/>
          </w:tcPr>
          <w:p w14:paraId="63240DB5" w14:textId="77777777" w:rsidR="00F82798" w:rsidRPr="00537917" w:rsidRDefault="00F82798">
            <w:pPr>
              <w:pStyle w:val="Normal1"/>
              <w:rPr>
                <w:rFonts w:ascii="Source Sans Pro Regular" w:hAnsi="Source Sans Pro Regular"/>
                <w:color w:val="898D8D"/>
                <w:sz w:val="20"/>
                <w:szCs w:val="20"/>
              </w:rPr>
            </w:pPr>
          </w:p>
        </w:tc>
      </w:tr>
      <w:tr w:rsidR="00F82798" w:rsidRPr="002C0FBF" w14:paraId="6AAE70E2" w14:textId="77777777" w:rsidTr="004D43EE">
        <w:tc>
          <w:tcPr>
            <w:tcW w:w="2174" w:type="dxa"/>
          </w:tcPr>
          <w:p w14:paraId="1493C8B2" w14:textId="77777777" w:rsidR="00F82798" w:rsidRPr="00537917" w:rsidRDefault="000A63FB">
            <w:pPr>
              <w:pStyle w:val="Normal1"/>
              <w:rPr>
                <w:rFonts w:ascii="Source Sans Pro Regular" w:hAnsi="Source Sans Pro Regular"/>
                <w:b/>
                <w:color w:val="898D8D"/>
                <w:sz w:val="20"/>
                <w:szCs w:val="20"/>
              </w:rPr>
            </w:pPr>
            <w:r w:rsidRPr="00537917">
              <w:rPr>
                <w:rFonts w:ascii="Source Sans Pro Regular" w:hAnsi="Source Sans Pro Regular"/>
                <w:b/>
                <w:color w:val="898D8D"/>
                <w:sz w:val="20"/>
                <w:szCs w:val="20"/>
              </w:rPr>
              <w:t xml:space="preserve">Inasistencia escolar en edades obligatorias (3-17) </w:t>
            </w:r>
          </w:p>
          <w:p w14:paraId="04872105" w14:textId="77777777" w:rsidR="00F82798" w:rsidRPr="00537917" w:rsidRDefault="00F82798">
            <w:pPr>
              <w:pStyle w:val="Normal1"/>
              <w:rPr>
                <w:rFonts w:ascii="Source Sans Pro Regular" w:hAnsi="Source Sans Pro Regular"/>
                <w:color w:val="898D8D"/>
                <w:sz w:val="20"/>
                <w:szCs w:val="20"/>
              </w:rPr>
            </w:pPr>
          </w:p>
          <w:p w14:paraId="4F0A73D0" w14:textId="77777777" w:rsidR="00F82798" w:rsidRPr="00537917" w:rsidRDefault="00F82798">
            <w:pPr>
              <w:pStyle w:val="Normal1"/>
              <w:rPr>
                <w:rFonts w:ascii="Source Sans Pro Regular" w:hAnsi="Source Sans Pro Regular"/>
                <w:color w:val="898D8D"/>
                <w:sz w:val="20"/>
                <w:szCs w:val="20"/>
              </w:rPr>
            </w:pPr>
          </w:p>
          <w:p w14:paraId="5F09D8D7" w14:textId="77777777" w:rsidR="00F82798" w:rsidRPr="00537917" w:rsidRDefault="00F82798">
            <w:pPr>
              <w:pStyle w:val="Normal1"/>
              <w:rPr>
                <w:rFonts w:ascii="Source Sans Pro Regular" w:hAnsi="Source Sans Pro Regular"/>
                <w:color w:val="898D8D"/>
                <w:sz w:val="20"/>
                <w:szCs w:val="20"/>
              </w:rPr>
            </w:pPr>
          </w:p>
          <w:p w14:paraId="17D087A0" w14:textId="77777777" w:rsidR="00F82798" w:rsidRPr="00537917" w:rsidRDefault="000A63FB">
            <w:pPr>
              <w:pStyle w:val="Normal1"/>
              <w:rPr>
                <w:rFonts w:ascii="Source Sans Pro Regular" w:hAnsi="Source Sans Pro Regular"/>
                <w:color w:val="898D8D"/>
                <w:sz w:val="20"/>
                <w:szCs w:val="20"/>
              </w:rPr>
            </w:pPr>
            <w:r w:rsidRPr="00537917">
              <w:rPr>
                <w:rFonts w:ascii="Source Sans Pro Regular" w:hAnsi="Source Sans Pro Regular"/>
                <w:color w:val="898D8D"/>
                <w:sz w:val="20"/>
                <w:szCs w:val="20"/>
              </w:rPr>
              <w:t>Fuentes: Diagnóstico (cuadros 6.7 y 6.8 y gráfica 6.10) e Infancias en la Ciudad de México 2020</w:t>
            </w:r>
          </w:p>
        </w:tc>
        <w:tc>
          <w:tcPr>
            <w:tcW w:w="4821" w:type="dxa"/>
          </w:tcPr>
          <w:p w14:paraId="35EFBE99" w14:textId="6DE188D5" w:rsidR="00F82798" w:rsidRPr="00537917" w:rsidRDefault="000A63FB" w:rsidP="00B13132">
            <w:pPr>
              <w:pStyle w:val="Normal1"/>
              <w:numPr>
                <w:ilvl w:val="0"/>
                <w:numId w:val="9"/>
              </w:numPr>
              <w:spacing w:after="60"/>
              <w:ind w:left="414" w:hanging="414"/>
              <w:rPr>
                <w:rFonts w:ascii="Source Sans Pro Regular" w:hAnsi="Source Sans Pro Regular"/>
                <w:color w:val="898D8D"/>
                <w:sz w:val="20"/>
                <w:szCs w:val="20"/>
              </w:rPr>
            </w:pPr>
            <w:r w:rsidRPr="00537917">
              <w:rPr>
                <w:rFonts w:ascii="Source Sans Pro Regular" w:hAnsi="Source Sans Pro Regular"/>
                <w:color w:val="898D8D"/>
                <w:sz w:val="20"/>
                <w:szCs w:val="20"/>
              </w:rPr>
              <w:t>En 2015</w:t>
            </w:r>
            <w:r w:rsidR="00B13132">
              <w:rPr>
                <w:rFonts w:ascii="Source Sans Pro Regular" w:hAnsi="Source Sans Pro Regular"/>
                <w:color w:val="898D8D"/>
                <w:sz w:val="20"/>
                <w:szCs w:val="20"/>
              </w:rPr>
              <w:t>,</w:t>
            </w:r>
            <w:r w:rsidRPr="00537917">
              <w:rPr>
                <w:rFonts w:ascii="Source Sans Pro Regular" w:hAnsi="Source Sans Pro Regular"/>
                <w:color w:val="898D8D"/>
                <w:sz w:val="20"/>
                <w:szCs w:val="20"/>
              </w:rPr>
              <w:t xml:space="preserve"> </w:t>
            </w:r>
            <w:r w:rsidR="00B13132">
              <w:rPr>
                <w:rFonts w:ascii="Source Sans Pro Regular" w:hAnsi="Source Sans Pro Regular"/>
                <w:color w:val="898D8D"/>
                <w:sz w:val="20"/>
                <w:szCs w:val="20"/>
              </w:rPr>
              <w:t xml:space="preserve">hay </w:t>
            </w:r>
            <w:r w:rsidRPr="00537917">
              <w:rPr>
                <w:rFonts w:ascii="Source Sans Pro Regular" w:hAnsi="Source Sans Pro Regular"/>
                <w:color w:val="898D8D"/>
                <w:sz w:val="20"/>
                <w:szCs w:val="20"/>
              </w:rPr>
              <w:t xml:space="preserve">1,838,108 niños y niñas (NN) entre 3 y 17 años (edad normativa para cursar la educación obligatoria), de los cuales </w:t>
            </w:r>
            <w:r w:rsidR="00B13132">
              <w:rPr>
                <w:rFonts w:ascii="Source Sans Pro Regular" w:hAnsi="Source Sans Pro Regular"/>
                <w:color w:val="898D8D"/>
                <w:sz w:val="20"/>
                <w:szCs w:val="20"/>
              </w:rPr>
              <w:t>183,697 (</w:t>
            </w:r>
            <w:r w:rsidRPr="00537917">
              <w:rPr>
                <w:rFonts w:ascii="Source Sans Pro Regular" w:hAnsi="Source Sans Pro Regular"/>
                <w:color w:val="898D8D"/>
                <w:sz w:val="20"/>
                <w:szCs w:val="20"/>
              </w:rPr>
              <w:t>el 10%</w:t>
            </w:r>
            <w:r w:rsidR="00B13132">
              <w:rPr>
                <w:rFonts w:ascii="Source Sans Pro Regular" w:hAnsi="Source Sans Pro Regular"/>
                <w:color w:val="898D8D"/>
                <w:sz w:val="20"/>
                <w:szCs w:val="20"/>
              </w:rPr>
              <w:t>)</w:t>
            </w:r>
            <w:r w:rsidRPr="00537917">
              <w:rPr>
                <w:rFonts w:ascii="Source Sans Pro Regular" w:hAnsi="Source Sans Pro Regular"/>
                <w:color w:val="898D8D"/>
                <w:sz w:val="20"/>
                <w:szCs w:val="20"/>
              </w:rPr>
              <w:t xml:space="preserve"> no asiste</w:t>
            </w:r>
            <w:r w:rsidR="00B13132">
              <w:rPr>
                <w:rFonts w:ascii="Source Sans Pro Regular" w:hAnsi="Source Sans Pro Regular"/>
                <w:color w:val="898D8D"/>
                <w:sz w:val="20"/>
                <w:szCs w:val="20"/>
              </w:rPr>
              <w:t>n</w:t>
            </w:r>
            <w:r w:rsidRPr="00537917">
              <w:rPr>
                <w:rFonts w:ascii="Source Sans Pro Regular" w:hAnsi="Source Sans Pro Regular"/>
                <w:color w:val="898D8D"/>
                <w:sz w:val="20"/>
                <w:szCs w:val="20"/>
              </w:rPr>
              <w:t xml:space="preserve"> a la escuela.</w:t>
            </w:r>
          </w:p>
          <w:p w14:paraId="6B980265" w14:textId="77777777" w:rsidR="003036B7" w:rsidRDefault="000A63FB" w:rsidP="003036B7">
            <w:pPr>
              <w:pStyle w:val="Normal1"/>
              <w:numPr>
                <w:ilvl w:val="0"/>
                <w:numId w:val="9"/>
              </w:numPr>
              <w:spacing w:after="60"/>
              <w:ind w:left="414" w:hanging="414"/>
              <w:rPr>
                <w:rFonts w:ascii="Source Sans Pro Regular" w:hAnsi="Source Sans Pro Regular"/>
                <w:color w:val="898D8D"/>
                <w:sz w:val="20"/>
                <w:szCs w:val="20"/>
              </w:rPr>
            </w:pPr>
            <w:r w:rsidRPr="00537917">
              <w:rPr>
                <w:rFonts w:ascii="Source Sans Pro Regular" w:hAnsi="Source Sans Pro Regular"/>
                <w:color w:val="898D8D"/>
                <w:sz w:val="20"/>
                <w:szCs w:val="20"/>
              </w:rPr>
              <w:t>La inasistencia está más concentrada entre los NN en edad preescolar (</w:t>
            </w:r>
            <w:r w:rsidR="007E58E3">
              <w:rPr>
                <w:rFonts w:ascii="Source Sans Pro Regular" w:hAnsi="Source Sans Pro Regular"/>
                <w:color w:val="898D8D"/>
                <w:sz w:val="20"/>
                <w:szCs w:val="20"/>
              </w:rPr>
              <w:t xml:space="preserve">entre </w:t>
            </w:r>
            <w:r w:rsidRPr="00537917">
              <w:rPr>
                <w:rFonts w:ascii="Source Sans Pro Regular" w:hAnsi="Source Sans Pro Regular"/>
                <w:color w:val="898D8D"/>
                <w:sz w:val="20"/>
                <w:szCs w:val="20"/>
              </w:rPr>
              <w:t xml:space="preserve">3 </w:t>
            </w:r>
            <w:r w:rsidR="007E58E3">
              <w:rPr>
                <w:rFonts w:ascii="Source Sans Pro Regular" w:hAnsi="Source Sans Pro Regular"/>
                <w:color w:val="898D8D"/>
                <w:sz w:val="20"/>
                <w:szCs w:val="20"/>
              </w:rPr>
              <w:t>y</w:t>
            </w:r>
            <w:r w:rsidRPr="00537917">
              <w:rPr>
                <w:rFonts w:ascii="Source Sans Pro Regular" w:hAnsi="Source Sans Pro Regular"/>
                <w:color w:val="898D8D"/>
                <w:sz w:val="20"/>
                <w:szCs w:val="20"/>
              </w:rPr>
              <w:t xml:space="preserve"> 5 años), pues 28 de cada 100 no asisten a la escuela (96,596), </w:t>
            </w:r>
            <w:r w:rsidR="007E58E3">
              <w:rPr>
                <w:rFonts w:ascii="Source Sans Pro Regular" w:hAnsi="Source Sans Pro Regular"/>
                <w:color w:val="898D8D"/>
                <w:sz w:val="20"/>
                <w:szCs w:val="20"/>
              </w:rPr>
              <w:t xml:space="preserve">así como </w:t>
            </w:r>
            <w:r w:rsidRPr="00537917">
              <w:rPr>
                <w:rFonts w:ascii="Source Sans Pro Regular" w:hAnsi="Source Sans Pro Regular"/>
                <w:color w:val="898D8D"/>
                <w:sz w:val="20"/>
                <w:szCs w:val="20"/>
              </w:rPr>
              <w:t xml:space="preserve">en edad de cursar el bachillerato (15 a 17 años), donde 17 de cada 100 no lo hacen (62,560). </w:t>
            </w:r>
          </w:p>
          <w:p w14:paraId="3029B8B1" w14:textId="45DDFA4A" w:rsidR="003036B7" w:rsidRDefault="000A63FB" w:rsidP="003036B7">
            <w:pPr>
              <w:pStyle w:val="Normal1"/>
              <w:numPr>
                <w:ilvl w:val="0"/>
                <w:numId w:val="9"/>
              </w:numPr>
              <w:spacing w:after="60"/>
              <w:ind w:left="414" w:hanging="414"/>
              <w:rPr>
                <w:rFonts w:ascii="Source Sans Pro Regular" w:hAnsi="Source Sans Pro Regular"/>
                <w:color w:val="898D8D"/>
                <w:sz w:val="20"/>
                <w:szCs w:val="20"/>
              </w:rPr>
            </w:pPr>
            <w:r w:rsidRPr="003036B7">
              <w:rPr>
                <w:rFonts w:ascii="Source Sans Pro Regular" w:hAnsi="Source Sans Pro Regular"/>
                <w:color w:val="898D8D"/>
                <w:sz w:val="20"/>
                <w:szCs w:val="20"/>
              </w:rPr>
              <w:t xml:space="preserve">El problema de la inasistencia en preescolar está más arraigado en las </w:t>
            </w:r>
            <w:r w:rsidR="003036B7">
              <w:rPr>
                <w:rFonts w:ascii="Source Sans Pro Regular" w:hAnsi="Source Sans Pro Regular"/>
                <w:color w:val="898D8D"/>
                <w:sz w:val="20"/>
                <w:szCs w:val="20"/>
              </w:rPr>
              <w:t xml:space="preserve">siguientes </w:t>
            </w:r>
            <w:r w:rsidRPr="003036B7">
              <w:rPr>
                <w:rFonts w:ascii="Source Sans Pro Regular" w:hAnsi="Source Sans Pro Regular"/>
                <w:color w:val="898D8D"/>
                <w:sz w:val="20"/>
                <w:szCs w:val="20"/>
              </w:rPr>
              <w:t>alcaldías</w:t>
            </w:r>
            <w:r w:rsidR="003036B7">
              <w:rPr>
                <w:rFonts w:ascii="Source Sans Pro Regular" w:hAnsi="Source Sans Pro Regular"/>
                <w:color w:val="898D8D"/>
                <w:sz w:val="20"/>
                <w:szCs w:val="20"/>
              </w:rPr>
              <w:t>, que sobrepasan el promedio capitalino (28.3%)</w:t>
            </w:r>
            <w:r w:rsidRPr="003036B7">
              <w:rPr>
                <w:rFonts w:ascii="Source Sans Pro Regular" w:hAnsi="Source Sans Pro Regular"/>
                <w:color w:val="898D8D"/>
                <w:sz w:val="20"/>
                <w:szCs w:val="20"/>
              </w:rPr>
              <w:t>:</w:t>
            </w:r>
          </w:p>
          <w:p w14:paraId="6C3E0634" w14:textId="77777777" w:rsidR="003036B7" w:rsidRDefault="000A63FB" w:rsidP="003036B7">
            <w:pPr>
              <w:pStyle w:val="Normal1"/>
              <w:numPr>
                <w:ilvl w:val="0"/>
                <w:numId w:val="8"/>
              </w:numPr>
              <w:ind w:left="714" w:hanging="357"/>
              <w:rPr>
                <w:rFonts w:ascii="Source Sans Pro Regular" w:hAnsi="Source Sans Pro Regular"/>
                <w:color w:val="898D8D"/>
                <w:sz w:val="20"/>
                <w:szCs w:val="20"/>
              </w:rPr>
            </w:pPr>
            <w:r w:rsidRPr="003036B7">
              <w:rPr>
                <w:rFonts w:ascii="Source Sans Pro Regular" w:hAnsi="Source Sans Pro Regular"/>
                <w:color w:val="898D8D"/>
                <w:sz w:val="20"/>
                <w:szCs w:val="20"/>
              </w:rPr>
              <w:t>Milpa Alta</w:t>
            </w:r>
            <w:r w:rsidR="003036B7">
              <w:rPr>
                <w:rFonts w:ascii="Source Sans Pro Regular" w:hAnsi="Source Sans Pro Regular"/>
                <w:color w:val="898D8D"/>
                <w:sz w:val="20"/>
                <w:szCs w:val="20"/>
              </w:rPr>
              <w:t>:</w:t>
            </w:r>
            <w:r w:rsidRPr="003036B7">
              <w:rPr>
                <w:rFonts w:ascii="Source Sans Pro Regular" w:hAnsi="Source Sans Pro Regular"/>
                <w:color w:val="898D8D"/>
                <w:sz w:val="20"/>
                <w:szCs w:val="20"/>
              </w:rPr>
              <w:t xml:space="preserve"> el 37.5% de los NN entre 3 y 5 años no van a la escuela</w:t>
            </w:r>
          </w:p>
          <w:p w14:paraId="7E76FFAD" w14:textId="77777777" w:rsidR="003036B7" w:rsidRDefault="000A63FB" w:rsidP="003036B7">
            <w:pPr>
              <w:pStyle w:val="Normal1"/>
              <w:numPr>
                <w:ilvl w:val="0"/>
                <w:numId w:val="8"/>
              </w:numPr>
              <w:ind w:left="714" w:hanging="357"/>
              <w:rPr>
                <w:rFonts w:ascii="Source Sans Pro Regular" w:hAnsi="Source Sans Pro Regular"/>
                <w:color w:val="898D8D"/>
                <w:sz w:val="20"/>
                <w:szCs w:val="20"/>
              </w:rPr>
            </w:pPr>
            <w:r w:rsidRPr="003036B7">
              <w:rPr>
                <w:rFonts w:ascii="Source Sans Pro Regular" w:hAnsi="Source Sans Pro Regular"/>
                <w:color w:val="898D8D"/>
                <w:sz w:val="20"/>
                <w:szCs w:val="20"/>
              </w:rPr>
              <w:t>Iztapalapa</w:t>
            </w:r>
            <w:r w:rsidR="003036B7">
              <w:rPr>
                <w:rFonts w:ascii="Source Sans Pro Regular" w:hAnsi="Source Sans Pro Regular"/>
                <w:color w:val="898D8D"/>
                <w:sz w:val="20"/>
                <w:szCs w:val="20"/>
              </w:rPr>
              <w:t>:</w:t>
            </w:r>
            <w:r w:rsidRPr="003036B7">
              <w:rPr>
                <w:rFonts w:ascii="Source Sans Pro Regular" w:hAnsi="Source Sans Pro Regular"/>
                <w:color w:val="898D8D"/>
                <w:sz w:val="20"/>
                <w:szCs w:val="20"/>
              </w:rPr>
              <w:t xml:space="preserve"> 36.2%</w:t>
            </w:r>
          </w:p>
          <w:p w14:paraId="09730151" w14:textId="77777777" w:rsidR="003036B7" w:rsidRDefault="000A63FB" w:rsidP="003036B7">
            <w:pPr>
              <w:pStyle w:val="Normal1"/>
              <w:numPr>
                <w:ilvl w:val="0"/>
                <w:numId w:val="8"/>
              </w:numPr>
              <w:ind w:left="714" w:hanging="357"/>
              <w:rPr>
                <w:rFonts w:ascii="Source Sans Pro Regular" w:hAnsi="Source Sans Pro Regular"/>
                <w:color w:val="898D8D"/>
                <w:sz w:val="20"/>
                <w:szCs w:val="20"/>
              </w:rPr>
            </w:pPr>
            <w:r w:rsidRPr="003036B7">
              <w:rPr>
                <w:rFonts w:ascii="Source Sans Pro Regular" w:hAnsi="Source Sans Pro Regular"/>
                <w:color w:val="898D8D"/>
                <w:sz w:val="20"/>
                <w:szCs w:val="20"/>
              </w:rPr>
              <w:t>Tláhuac</w:t>
            </w:r>
            <w:r w:rsidR="003036B7">
              <w:rPr>
                <w:rFonts w:ascii="Source Sans Pro Regular" w:hAnsi="Source Sans Pro Regular"/>
                <w:color w:val="898D8D"/>
                <w:sz w:val="20"/>
                <w:szCs w:val="20"/>
              </w:rPr>
              <w:t>:</w:t>
            </w:r>
            <w:r w:rsidRPr="003036B7">
              <w:rPr>
                <w:rFonts w:ascii="Source Sans Pro Regular" w:hAnsi="Source Sans Pro Regular"/>
                <w:color w:val="898D8D"/>
                <w:sz w:val="20"/>
                <w:szCs w:val="20"/>
              </w:rPr>
              <w:t xml:space="preserve"> 33.0%</w:t>
            </w:r>
          </w:p>
          <w:p w14:paraId="629CB81E" w14:textId="77777777" w:rsidR="003036B7" w:rsidRDefault="000A63FB" w:rsidP="003036B7">
            <w:pPr>
              <w:pStyle w:val="Normal1"/>
              <w:numPr>
                <w:ilvl w:val="0"/>
                <w:numId w:val="8"/>
              </w:numPr>
              <w:ind w:left="714" w:hanging="357"/>
              <w:rPr>
                <w:rFonts w:ascii="Source Sans Pro Regular" w:hAnsi="Source Sans Pro Regular"/>
                <w:color w:val="898D8D"/>
                <w:sz w:val="20"/>
                <w:szCs w:val="20"/>
              </w:rPr>
            </w:pPr>
            <w:r w:rsidRPr="003036B7">
              <w:rPr>
                <w:rFonts w:ascii="Source Sans Pro Regular" w:hAnsi="Source Sans Pro Regular"/>
                <w:color w:val="898D8D"/>
                <w:sz w:val="20"/>
                <w:szCs w:val="20"/>
              </w:rPr>
              <w:t>Xochimilco</w:t>
            </w:r>
            <w:r w:rsidR="003036B7">
              <w:rPr>
                <w:rFonts w:ascii="Source Sans Pro Regular" w:hAnsi="Source Sans Pro Regular"/>
                <w:color w:val="898D8D"/>
                <w:sz w:val="20"/>
                <w:szCs w:val="20"/>
              </w:rPr>
              <w:t xml:space="preserve">: </w:t>
            </w:r>
            <w:r w:rsidRPr="003036B7">
              <w:rPr>
                <w:rFonts w:ascii="Source Sans Pro Regular" w:hAnsi="Source Sans Pro Regular"/>
                <w:color w:val="898D8D"/>
                <w:sz w:val="20"/>
                <w:szCs w:val="20"/>
              </w:rPr>
              <w:t>31.7%</w:t>
            </w:r>
          </w:p>
          <w:p w14:paraId="5C3313C0" w14:textId="77777777" w:rsidR="003036B7" w:rsidRDefault="000A63FB" w:rsidP="003036B7">
            <w:pPr>
              <w:pStyle w:val="Normal1"/>
              <w:numPr>
                <w:ilvl w:val="0"/>
                <w:numId w:val="8"/>
              </w:numPr>
              <w:ind w:left="714" w:hanging="357"/>
              <w:rPr>
                <w:rFonts w:ascii="Source Sans Pro Regular" w:hAnsi="Source Sans Pro Regular"/>
                <w:color w:val="898D8D"/>
                <w:sz w:val="20"/>
                <w:szCs w:val="20"/>
              </w:rPr>
            </w:pPr>
            <w:r w:rsidRPr="003036B7">
              <w:rPr>
                <w:rFonts w:ascii="Source Sans Pro Regular" w:hAnsi="Source Sans Pro Regular"/>
                <w:color w:val="898D8D"/>
                <w:sz w:val="20"/>
                <w:szCs w:val="20"/>
              </w:rPr>
              <w:t>G</w:t>
            </w:r>
            <w:r w:rsidR="003036B7">
              <w:rPr>
                <w:rFonts w:ascii="Source Sans Pro Regular" w:hAnsi="Source Sans Pro Regular"/>
                <w:color w:val="898D8D"/>
                <w:sz w:val="20"/>
                <w:szCs w:val="20"/>
              </w:rPr>
              <w:t xml:space="preserve">ustavo </w:t>
            </w:r>
            <w:r w:rsidRPr="003036B7">
              <w:rPr>
                <w:rFonts w:ascii="Source Sans Pro Regular" w:hAnsi="Source Sans Pro Regular"/>
                <w:color w:val="898D8D"/>
                <w:sz w:val="20"/>
                <w:szCs w:val="20"/>
              </w:rPr>
              <w:t>A</w:t>
            </w:r>
            <w:r w:rsidR="003036B7">
              <w:rPr>
                <w:rFonts w:ascii="Source Sans Pro Regular" w:hAnsi="Source Sans Pro Regular"/>
                <w:color w:val="898D8D"/>
                <w:sz w:val="20"/>
                <w:szCs w:val="20"/>
              </w:rPr>
              <w:t xml:space="preserve">. </w:t>
            </w:r>
            <w:r w:rsidRPr="003036B7">
              <w:rPr>
                <w:rFonts w:ascii="Source Sans Pro Regular" w:hAnsi="Source Sans Pro Regular"/>
                <w:color w:val="898D8D"/>
                <w:sz w:val="20"/>
                <w:szCs w:val="20"/>
              </w:rPr>
              <w:t>M</w:t>
            </w:r>
            <w:r w:rsidR="003036B7">
              <w:rPr>
                <w:rFonts w:ascii="Source Sans Pro Regular" w:hAnsi="Source Sans Pro Regular"/>
                <w:color w:val="898D8D"/>
                <w:sz w:val="20"/>
                <w:szCs w:val="20"/>
              </w:rPr>
              <w:t>adero:</w:t>
            </w:r>
            <w:r w:rsidRPr="003036B7">
              <w:rPr>
                <w:rFonts w:ascii="Source Sans Pro Regular" w:hAnsi="Source Sans Pro Regular"/>
                <w:color w:val="898D8D"/>
                <w:sz w:val="20"/>
                <w:szCs w:val="20"/>
              </w:rPr>
              <w:t xml:space="preserve"> 28.9%</w:t>
            </w:r>
          </w:p>
          <w:p w14:paraId="7ED347F1" w14:textId="20D15BF9" w:rsidR="00F82798" w:rsidRPr="003036B7" w:rsidRDefault="000A63FB" w:rsidP="00B36421">
            <w:pPr>
              <w:pStyle w:val="Normal1"/>
              <w:numPr>
                <w:ilvl w:val="0"/>
                <w:numId w:val="8"/>
              </w:numPr>
              <w:spacing w:after="60"/>
              <w:ind w:left="714" w:hanging="357"/>
              <w:rPr>
                <w:rFonts w:ascii="Source Sans Pro Regular" w:hAnsi="Source Sans Pro Regular"/>
                <w:color w:val="898D8D"/>
                <w:sz w:val="20"/>
                <w:szCs w:val="20"/>
              </w:rPr>
            </w:pPr>
            <w:r w:rsidRPr="003036B7">
              <w:rPr>
                <w:rFonts w:ascii="Source Sans Pro Regular" w:hAnsi="Source Sans Pro Regular"/>
                <w:color w:val="898D8D"/>
                <w:sz w:val="20"/>
                <w:szCs w:val="20"/>
              </w:rPr>
              <w:t>La Magdalena Contreras</w:t>
            </w:r>
            <w:r w:rsidR="003036B7">
              <w:rPr>
                <w:rFonts w:ascii="Source Sans Pro Regular" w:hAnsi="Source Sans Pro Regular"/>
                <w:color w:val="898D8D"/>
                <w:sz w:val="20"/>
                <w:szCs w:val="20"/>
              </w:rPr>
              <w:t>:</w:t>
            </w:r>
            <w:r w:rsidRPr="003036B7">
              <w:rPr>
                <w:rFonts w:ascii="Source Sans Pro Regular" w:hAnsi="Source Sans Pro Regular"/>
                <w:color w:val="898D8D"/>
                <w:sz w:val="20"/>
                <w:szCs w:val="20"/>
              </w:rPr>
              <w:t xml:space="preserve"> </w:t>
            </w:r>
            <w:r w:rsidR="00EC36C0">
              <w:rPr>
                <w:rFonts w:ascii="Source Sans Pro Regular" w:hAnsi="Source Sans Pro Regular"/>
                <w:color w:val="898D8D"/>
                <w:sz w:val="20"/>
                <w:szCs w:val="20"/>
              </w:rPr>
              <w:t>28.6%</w:t>
            </w:r>
          </w:p>
          <w:p w14:paraId="6E908612" w14:textId="1A9EE1B6" w:rsidR="00086BFC" w:rsidRDefault="000A63FB" w:rsidP="00B36421">
            <w:pPr>
              <w:pStyle w:val="Normal1"/>
              <w:numPr>
                <w:ilvl w:val="0"/>
                <w:numId w:val="9"/>
              </w:numPr>
              <w:spacing w:after="60"/>
              <w:ind w:left="414" w:hanging="414"/>
              <w:rPr>
                <w:rFonts w:ascii="Source Sans Pro Regular" w:hAnsi="Source Sans Pro Regular"/>
                <w:color w:val="898D8D"/>
                <w:sz w:val="20"/>
                <w:szCs w:val="20"/>
              </w:rPr>
            </w:pPr>
            <w:r w:rsidRPr="00537917">
              <w:rPr>
                <w:rFonts w:ascii="Source Sans Pro Regular" w:hAnsi="Source Sans Pro Regular"/>
                <w:color w:val="898D8D"/>
                <w:sz w:val="20"/>
                <w:szCs w:val="20"/>
              </w:rPr>
              <w:t xml:space="preserve">El problema de la inasistencia en </w:t>
            </w:r>
            <w:r w:rsidR="00B36421">
              <w:rPr>
                <w:rFonts w:ascii="Source Sans Pro Regular" w:hAnsi="Source Sans Pro Regular"/>
                <w:color w:val="898D8D"/>
                <w:sz w:val="20"/>
                <w:szCs w:val="20"/>
              </w:rPr>
              <w:t xml:space="preserve">educación media superior </w:t>
            </w:r>
            <w:r w:rsidRPr="00537917">
              <w:rPr>
                <w:rFonts w:ascii="Source Sans Pro Regular" w:hAnsi="Source Sans Pro Regular"/>
                <w:color w:val="898D8D"/>
                <w:sz w:val="20"/>
                <w:szCs w:val="20"/>
              </w:rPr>
              <w:t xml:space="preserve">se </w:t>
            </w:r>
            <w:r w:rsidR="00460E88">
              <w:rPr>
                <w:rFonts w:ascii="Source Sans Pro Regular" w:hAnsi="Source Sans Pro Regular"/>
                <w:color w:val="898D8D"/>
                <w:sz w:val="20"/>
                <w:szCs w:val="20"/>
              </w:rPr>
              <w:t xml:space="preserve">presenta en mayor medida </w:t>
            </w:r>
            <w:r w:rsidRPr="00537917">
              <w:rPr>
                <w:rFonts w:ascii="Source Sans Pro Regular" w:hAnsi="Source Sans Pro Regular"/>
                <w:color w:val="898D8D"/>
                <w:sz w:val="20"/>
                <w:szCs w:val="20"/>
              </w:rPr>
              <w:t xml:space="preserve">en las </w:t>
            </w:r>
            <w:r w:rsidR="00B36421">
              <w:rPr>
                <w:rFonts w:ascii="Source Sans Pro Regular" w:hAnsi="Source Sans Pro Regular"/>
                <w:color w:val="898D8D"/>
                <w:sz w:val="20"/>
                <w:szCs w:val="20"/>
              </w:rPr>
              <w:t xml:space="preserve">siguientes </w:t>
            </w:r>
            <w:r w:rsidRPr="00537917">
              <w:rPr>
                <w:rFonts w:ascii="Source Sans Pro Regular" w:hAnsi="Source Sans Pro Regular"/>
                <w:color w:val="898D8D"/>
                <w:sz w:val="20"/>
                <w:szCs w:val="20"/>
              </w:rPr>
              <w:t>alcaldías</w:t>
            </w:r>
            <w:r w:rsidR="00460E88">
              <w:rPr>
                <w:rFonts w:ascii="Source Sans Pro Regular" w:hAnsi="Source Sans Pro Regular"/>
                <w:color w:val="898D8D"/>
                <w:sz w:val="20"/>
                <w:szCs w:val="20"/>
              </w:rPr>
              <w:t xml:space="preserve">, pues en todos los casos superan el promedio capitalino </w:t>
            </w:r>
            <w:r w:rsidR="00856DD4">
              <w:rPr>
                <w:rFonts w:ascii="Source Sans Pro Regular" w:hAnsi="Source Sans Pro Regular"/>
                <w:color w:val="898D8D"/>
                <w:sz w:val="20"/>
                <w:szCs w:val="20"/>
              </w:rPr>
              <w:t>(16.8%)</w:t>
            </w:r>
            <w:r w:rsidR="00086BFC">
              <w:rPr>
                <w:rFonts w:ascii="Source Sans Pro Regular" w:hAnsi="Source Sans Pro Regular"/>
                <w:color w:val="898D8D"/>
                <w:sz w:val="20"/>
                <w:szCs w:val="20"/>
              </w:rPr>
              <w:t>:</w:t>
            </w:r>
          </w:p>
          <w:p w14:paraId="7389A5CF" w14:textId="259C4226" w:rsidR="00086BFC" w:rsidRDefault="000A63FB" w:rsidP="00086BFC">
            <w:pPr>
              <w:pStyle w:val="Normal1"/>
              <w:numPr>
                <w:ilvl w:val="0"/>
                <w:numId w:val="8"/>
              </w:numPr>
              <w:ind w:left="714" w:hanging="357"/>
              <w:rPr>
                <w:rFonts w:ascii="Source Sans Pro Regular" w:hAnsi="Source Sans Pro Regular"/>
                <w:color w:val="898D8D"/>
                <w:sz w:val="20"/>
                <w:szCs w:val="20"/>
              </w:rPr>
            </w:pPr>
            <w:r w:rsidRPr="00537917">
              <w:rPr>
                <w:rFonts w:ascii="Source Sans Pro Regular" w:hAnsi="Source Sans Pro Regular"/>
                <w:color w:val="898D8D"/>
                <w:sz w:val="20"/>
                <w:szCs w:val="20"/>
              </w:rPr>
              <w:t>Milpa Alta</w:t>
            </w:r>
            <w:r w:rsidR="00086BFC">
              <w:rPr>
                <w:rFonts w:ascii="Source Sans Pro Regular" w:hAnsi="Source Sans Pro Regular"/>
                <w:color w:val="898D8D"/>
                <w:sz w:val="20"/>
                <w:szCs w:val="20"/>
              </w:rPr>
              <w:t>:</w:t>
            </w:r>
            <w:r w:rsidRPr="00537917">
              <w:rPr>
                <w:rFonts w:ascii="Source Sans Pro Regular" w:hAnsi="Source Sans Pro Regular"/>
                <w:color w:val="898D8D"/>
                <w:sz w:val="20"/>
                <w:szCs w:val="20"/>
              </w:rPr>
              <w:t xml:space="preserve"> el 22.7% de </w:t>
            </w:r>
            <w:r w:rsidR="00086BFC">
              <w:rPr>
                <w:rFonts w:ascii="Source Sans Pro Regular" w:hAnsi="Source Sans Pro Regular"/>
                <w:color w:val="898D8D"/>
                <w:sz w:val="20"/>
                <w:szCs w:val="20"/>
              </w:rPr>
              <w:t>la población e</w:t>
            </w:r>
            <w:r w:rsidRPr="00537917">
              <w:rPr>
                <w:rFonts w:ascii="Source Sans Pro Regular" w:hAnsi="Source Sans Pro Regular"/>
                <w:color w:val="898D8D"/>
                <w:sz w:val="20"/>
                <w:szCs w:val="20"/>
              </w:rPr>
              <w:t>ntre 15 y 17 años no va a la escuela</w:t>
            </w:r>
          </w:p>
          <w:p w14:paraId="28993E41" w14:textId="77777777" w:rsidR="00086BFC" w:rsidRDefault="000A63FB" w:rsidP="00086BFC">
            <w:pPr>
              <w:pStyle w:val="Normal1"/>
              <w:numPr>
                <w:ilvl w:val="0"/>
                <w:numId w:val="8"/>
              </w:numPr>
              <w:ind w:left="714" w:hanging="357"/>
              <w:rPr>
                <w:rFonts w:ascii="Source Sans Pro Regular" w:hAnsi="Source Sans Pro Regular"/>
                <w:color w:val="898D8D"/>
                <w:sz w:val="20"/>
                <w:szCs w:val="20"/>
              </w:rPr>
            </w:pPr>
            <w:r w:rsidRPr="00537917">
              <w:rPr>
                <w:rFonts w:ascii="Source Sans Pro Regular" w:hAnsi="Source Sans Pro Regular"/>
                <w:color w:val="898D8D"/>
                <w:sz w:val="20"/>
                <w:szCs w:val="20"/>
              </w:rPr>
              <w:t>La Magdalena Contreras</w:t>
            </w:r>
            <w:r w:rsidR="00086BFC">
              <w:rPr>
                <w:rFonts w:ascii="Source Sans Pro Regular" w:hAnsi="Source Sans Pro Regular"/>
                <w:color w:val="898D8D"/>
                <w:sz w:val="20"/>
                <w:szCs w:val="20"/>
              </w:rPr>
              <w:t xml:space="preserve">: </w:t>
            </w:r>
            <w:r w:rsidRPr="00537917">
              <w:rPr>
                <w:rFonts w:ascii="Source Sans Pro Regular" w:hAnsi="Source Sans Pro Regular"/>
                <w:color w:val="898D8D"/>
                <w:sz w:val="20"/>
                <w:szCs w:val="20"/>
              </w:rPr>
              <w:t>21.7%</w:t>
            </w:r>
          </w:p>
          <w:p w14:paraId="42953EFF" w14:textId="77777777" w:rsidR="00086BFC" w:rsidRDefault="000A63FB" w:rsidP="00086BFC">
            <w:pPr>
              <w:pStyle w:val="Normal1"/>
              <w:numPr>
                <w:ilvl w:val="0"/>
                <w:numId w:val="8"/>
              </w:numPr>
              <w:ind w:left="714" w:hanging="357"/>
              <w:rPr>
                <w:rFonts w:ascii="Source Sans Pro Regular" w:hAnsi="Source Sans Pro Regular"/>
                <w:color w:val="898D8D"/>
                <w:sz w:val="20"/>
                <w:szCs w:val="20"/>
              </w:rPr>
            </w:pPr>
            <w:r w:rsidRPr="00537917">
              <w:rPr>
                <w:rFonts w:ascii="Source Sans Pro Regular" w:hAnsi="Source Sans Pro Regular"/>
                <w:color w:val="898D8D"/>
                <w:sz w:val="20"/>
                <w:szCs w:val="20"/>
              </w:rPr>
              <w:lastRenderedPageBreak/>
              <w:t>Xochimilco</w:t>
            </w:r>
            <w:r w:rsidR="00086BFC">
              <w:rPr>
                <w:rFonts w:ascii="Source Sans Pro Regular" w:hAnsi="Source Sans Pro Regular"/>
                <w:color w:val="898D8D"/>
                <w:sz w:val="20"/>
                <w:szCs w:val="20"/>
              </w:rPr>
              <w:t>:</w:t>
            </w:r>
            <w:r w:rsidRPr="00537917">
              <w:rPr>
                <w:rFonts w:ascii="Source Sans Pro Regular" w:hAnsi="Source Sans Pro Regular"/>
                <w:color w:val="898D8D"/>
                <w:sz w:val="20"/>
                <w:szCs w:val="20"/>
              </w:rPr>
              <w:t xml:space="preserve"> 19.1%</w:t>
            </w:r>
          </w:p>
          <w:p w14:paraId="409A5997" w14:textId="77777777" w:rsidR="00086BFC" w:rsidRDefault="00086BFC" w:rsidP="00086BFC">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 xml:space="preserve">Álvaro Obregón: </w:t>
            </w:r>
            <w:r w:rsidR="000A63FB" w:rsidRPr="00537917">
              <w:rPr>
                <w:rFonts w:ascii="Source Sans Pro Regular" w:hAnsi="Source Sans Pro Regular"/>
                <w:color w:val="898D8D"/>
                <w:sz w:val="20"/>
                <w:szCs w:val="20"/>
              </w:rPr>
              <w:t>18.7%</w:t>
            </w:r>
          </w:p>
          <w:p w14:paraId="49B28335" w14:textId="77777777" w:rsidR="00086BFC" w:rsidRDefault="000A63FB" w:rsidP="00086BFC">
            <w:pPr>
              <w:pStyle w:val="Normal1"/>
              <w:numPr>
                <w:ilvl w:val="0"/>
                <w:numId w:val="8"/>
              </w:numPr>
              <w:ind w:left="714" w:hanging="357"/>
              <w:rPr>
                <w:rFonts w:ascii="Source Sans Pro Regular" w:hAnsi="Source Sans Pro Regular"/>
                <w:color w:val="898D8D"/>
                <w:sz w:val="20"/>
                <w:szCs w:val="20"/>
              </w:rPr>
            </w:pPr>
            <w:r w:rsidRPr="00537917">
              <w:rPr>
                <w:rFonts w:ascii="Source Sans Pro Regular" w:hAnsi="Source Sans Pro Regular"/>
                <w:color w:val="898D8D"/>
                <w:sz w:val="20"/>
                <w:szCs w:val="20"/>
              </w:rPr>
              <w:t>Tláhuac</w:t>
            </w:r>
            <w:r w:rsidR="00086BFC">
              <w:rPr>
                <w:rFonts w:ascii="Source Sans Pro Regular" w:hAnsi="Source Sans Pro Regular"/>
                <w:color w:val="898D8D"/>
                <w:sz w:val="20"/>
                <w:szCs w:val="20"/>
              </w:rPr>
              <w:t>:</w:t>
            </w:r>
            <w:r w:rsidRPr="00537917">
              <w:rPr>
                <w:rFonts w:ascii="Source Sans Pro Regular" w:hAnsi="Source Sans Pro Regular"/>
                <w:color w:val="898D8D"/>
                <w:sz w:val="20"/>
                <w:szCs w:val="20"/>
              </w:rPr>
              <w:t xml:space="preserve"> </w:t>
            </w:r>
            <w:r w:rsidR="00086BFC">
              <w:rPr>
                <w:rFonts w:ascii="Source Sans Pro Regular" w:hAnsi="Source Sans Pro Regular"/>
                <w:color w:val="898D8D"/>
                <w:sz w:val="20"/>
                <w:szCs w:val="20"/>
              </w:rPr>
              <w:t>18.3%</w:t>
            </w:r>
          </w:p>
          <w:p w14:paraId="0B588861" w14:textId="77777777" w:rsidR="00086BFC" w:rsidRDefault="000A63FB" w:rsidP="00086BFC">
            <w:pPr>
              <w:pStyle w:val="Normal1"/>
              <w:numPr>
                <w:ilvl w:val="0"/>
                <w:numId w:val="8"/>
              </w:numPr>
              <w:ind w:left="714" w:hanging="357"/>
              <w:rPr>
                <w:rFonts w:ascii="Source Sans Pro Regular" w:hAnsi="Source Sans Pro Regular"/>
                <w:color w:val="898D8D"/>
                <w:sz w:val="20"/>
                <w:szCs w:val="20"/>
              </w:rPr>
            </w:pPr>
            <w:r w:rsidRPr="00537917">
              <w:rPr>
                <w:rFonts w:ascii="Source Sans Pro Regular" w:hAnsi="Source Sans Pro Regular"/>
                <w:color w:val="898D8D"/>
                <w:sz w:val="20"/>
                <w:szCs w:val="20"/>
              </w:rPr>
              <w:t>Iztapalapa</w:t>
            </w:r>
            <w:r w:rsidR="00086BFC">
              <w:rPr>
                <w:rFonts w:ascii="Source Sans Pro Regular" w:hAnsi="Source Sans Pro Regular"/>
                <w:color w:val="898D8D"/>
                <w:sz w:val="20"/>
                <w:szCs w:val="20"/>
              </w:rPr>
              <w:t>:</w:t>
            </w:r>
            <w:r w:rsidRPr="00537917">
              <w:rPr>
                <w:rFonts w:ascii="Source Sans Pro Regular" w:hAnsi="Source Sans Pro Regular"/>
                <w:color w:val="898D8D"/>
                <w:sz w:val="20"/>
                <w:szCs w:val="20"/>
              </w:rPr>
              <w:t xml:space="preserve"> 17.9%</w:t>
            </w:r>
          </w:p>
          <w:p w14:paraId="3418EAA4" w14:textId="77777777" w:rsidR="00086BFC" w:rsidRDefault="000A63FB" w:rsidP="00086BFC">
            <w:pPr>
              <w:pStyle w:val="Normal1"/>
              <w:numPr>
                <w:ilvl w:val="0"/>
                <w:numId w:val="8"/>
              </w:numPr>
              <w:ind w:left="714" w:hanging="357"/>
              <w:rPr>
                <w:rFonts w:ascii="Source Sans Pro Regular" w:hAnsi="Source Sans Pro Regular"/>
                <w:color w:val="898D8D"/>
                <w:sz w:val="20"/>
                <w:szCs w:val="20"/>
              </w:rPr>
            </w:pPr>
            <w:r w:rsidRPr="00537917">
              <w:rPr>
                <w:rFonts w:ascii="Source Sans Pro Regular" w:hAnsi="Source Sans Pro Regular"/>
                <w:color w:val="898D8D"/>
                <w:sz w:val="20"/>
                <w:szCs w:val="20"/>
              </w:rPr>
              <w:t>Tlalpan</w:t>
            </w:r>
            <w:r w:rsidR="00086BFC">
              <w:rPr>
                <w:rFonts w:ascii="Source Sans Pro Regular" w:hAnsi="Source Sans Pro Regular"/>
                <w:color w:val="898D8D"/>
                <w:sz w:val="20"/>
                <w:szCs w:val="20"/>
              </w:rPr>
              <w:t xml:space="preserve">: </w:t>
            </w:r>
            <w:r w:rsidRPr="00537917">
              <w:rPr>
                <w:rFonts w:ascii="Source Sans Pro Regular" w:hAnsi="Source Sans Pro Regular"/>
                <w:color w:val="898D8D"/>
                <w:sz w:val="20"/>
                <w:szCs w:val="20"/>
              </w:rPr>
              <w:t>17.6%</w:t>
            </w:r>
          </w:p>
          <w:p w14:paraId="4CB73BCA" w14:textId="5C45C487" w:rsidR="00F82798" w:rsidRPr="00537917" w:rsidRDefault="000A63FB" w:rsidP="00856DD4">
            <w:pPr>
              <w:pStyle w:val="Normal1"/>
              <w:numPr>
                <w:ilvl w:val="0"/>
                <w:numId w:val="8"/>
              </w:numPr>
              <w:ind w:left="714" w:hanging="357"/>
              <w:rPr>
                <w:rFonts w:ascii="Source Sans Pro Regular" w:hAnsi="Source Sans Pro Regular"/>
                <w:color w:val="898D8D"/>
                <w:sz w:val="20"/>
                <w:szCs w:val="20"/>
              </w:rPr>
            </w:pPr>
            <w:r w:rsidRPr="00537917">
              <w:rPr>
                <w:rFonts w:ascii="Source Sans Pro Regular" w:hAnsi="Source Sans Pro Regular"/>
                <w:color w:val="898D8D"/>
                <w:sz w:val="20"/>
                <w:szCs w:val="20"/>
              </w:rPr>
              <w:t>Cuajimalpa de Morelos (17.2%)</w:t>
            </w:r>
          </w:p>
        </w:tc>
        <w:tc>
          <w:tcPr>
            <w:tcW w:w="3117" w:type="dxa"/>
          </w:tcPr>
          <w:p w14:paraId="2C7DA1A1" w14:textId="77777777" w:rsidR="00F82798" w:rsidRPr="00537917" w:rsidRDefault="00F82798">
            <w:pPr>
              <w:pStyle w:val="Normal1"/>
              <w:rPr>
                <w:rFonts w:ascii="Source Sans Pro Regular" w:hAnsi="Source Sans Pro Regular"/>
                <w:color w:val="898D8D"/>
                <w:sz w:val="20"/>
                <w:szCs w:val="20"/>
              </w:rPr>
            </w:pPr>
          </w:p>
        </w:tc>
      </w:tr>
      <w:tr w:rsidR="00F82798" w:rsidRPr="002C0FBF" w14:paraId="57CECBE9" w14:textId="77777777" w:rsidTr="004D43EE">
        <w:tc>
          <w:tcPr>
            <w:tcW w:w="2174" w:type="dxa"/>
          </w:tcPr>
          <w:p w14:paraId="412D6E4F" w14:textId="6060774C" w:rsidR="00F82798" w:rsidRPr="00D76E2C" w:rsidRDefault="000A63FB">
            <w:pPr>
              <w:pStyle w:val="Normal1"/>
              <w:rPr>
                <w:rFonts w:ascii="Source Sans Pro Regular" w:hAnsi="Source Sans Pro Regular"/>
                <w:b/>
                <w:color w:val="898D8D"/>
                <w:sz w:val="20"/>
                <w:szCs w:val="20"/>
              </w:rPr>
            </w:pPr>
            <w:r w:rsidRPr="00D76E2C">
              <w:rPr>
                <w:rFonts w:ascii="Source Sans Pro Regular" w:hAnsi="Source Sans Pro Regular"/>
                <w:b/>
                <w:color w:val="898D8D"/>
                <w:sz w:val="20"/>
                <w:szCs w:val="20"/>
              </w:rPr>
              <w:t>Inasistencia escolar por pertenencia étnica</w:t>
            </w:r>
          </w:p>
          <w:p w14:paraId="06EDAF3C" w14:textId="77777777" w:rsidR="00F82798" w:rsidRPr="00D76E2C" w:rsidRDefault="00F82798">
            <w:pPr>
              <w:pStyle w:val="Normal1"/>
              <w:rPr>
                <w:rFonts w:ascii="Source Sans Pro Regular" w:hAnsi="Source Sans Pro Regular"/>
                <w:color w:val="898D8D"/>
                <w:sz w:val="20"/>
                <w:szCs w:val="20"/>
              </w:rPr>
            </w:pPr>
          </w:p>
          <w:p w14:paraId="67683ECD" w14:textId="77777777" w:rsidR="00F82798" w:rsidRPr="00D76E2C" w:rsidRDefault="000A63FB">
            <w:pPr>
              <w:pStyle w:val="Normal1"/>
              <w:rPr>
                <w:rFonts w:ascii="Source Sans Pro Regular" w:hAnsi="Source Sans Pro Regular"/>
                <w:color w:val="898D8D"/>
                <w:sz w:val="20"/>
                <w:szCs w:val="20"/>
              </w:rPr>
            </w:pPr>
            <w:r w:rsidRPr="00D76E2C">
              <w:rPr>
                <w:rFonts w:ascii="Source Sans Pro Regular" w:hAnsi="Source Sans Pro Regular"/>
                <w:color w:val="898D8D"/>
                <w:sz w:val="20"/>
                <w:szCs w:val="20"/>
              </w:rPr>
              <w:t>Fuente: Diagnóstico (gráfica 6.10)</w:t>
            </w:r>
          </w:p>
        </w:tc>
        <w:tc>
          <w:tcPr>
            <w:tcW w:w="4821" w:type="dxa"/>
          </w:tcPr>
          <w:p w14:paraId="253E2C8B" w14:textId="3C890504" w:rsidR="00F82798" w:rsidRPr="00D76E2C" w:rsidRDefault="000A63FB" w:rsidP="00EA3194">
            <w:pPr>
              <w:pStyle w:val="Normal1"/>
              <w:numPr>
                <w:ilvl w:val="0"/>
                <w:numId w:val="9"/>
              </w:numPr>
              <w:spacing w:after="60"/>
              <w:ind w:left="414" w:hanging="414"/>
              <w:rPr>
                <w:rFonts w:ascii="Source Sans Pro Regular" w:hAnsi="Source Sans Pro Regular"/>
                <w:color w:val="898D8D"/>
                <w:sz w:val="20"/>
                <w:szCs w:val="20"/>
              </w:rPr>
            </w:pPr>
            <w:r w:rsidRPr="00D76E2C">
              <w:rPr>
                <w:rFonts w:ascii="Source Sans Pro Regular" w:hAnsi="Source Sans Pro Regular"/>
                <w:color w:val="898D8D"/>
                <w:sz w:val="20"/>
                <w:szCs w:val="20"/>
              </w:rPr>
              <w:t xml:space="preserve">La probabilidad de exclusión educativa para un </w:t>
            </w:r>
            <w:r w:rsidR="00A57709">
              <w:rPr>
                <w:rFonts w:ascii="Source Sans Pro Regular" w:hAnsi="Source Sans Pro Regular"/>
                <w:color w:val="898D8D"/>
                <w:sz w:val="20"/>
                <w:szCs w:val="20"/>
              </w:rPr>
              <w:t xml:space="preserve">niño o niña </w:t>
            </w:r>
            <w:r w:rsidRPr="00D76E2C">
              <w:rPr>
                <w:rFonts w:ascii="Source Sans Pro Regular" w:hAnsi="Source Sans Pro Regular"/>
                <w:color w:val="898D8D"/>
                <w:sz w:val="20"/>
                <w:szCs w:val="20"/>
              </w:rPr>
              <w:t xml:space="preserve">en edad normativa de cursar educación obligatoria </w:t>
            </w:r>
            <w:r w:rsidR="00A57709">
              <w:rPr>
                <w:rFonts w:ascii="Source Sans Pro Regular" w:hAnsi="Source Sans Pro Regular"/>
                <w:color w:val="898D8D"/>
                <w:sz w:val="20"/>
                <w:szCs w:val="20"/>
              </w:rPr>
              <w:t xml:space="preserve">(entre 3 y 17 años) </w:t>
            </w:r>
            <w:r w:rsidRPr="00D76E2C">
              <w:rPr>
                <w:rFonts w:ascii="Source Sans Pro Regular" w:hAnsi="Source Sans Pro Regular"/>
                <w:color w:val="898D8D"/>
                <w:sz w:val="20"/>
                <w:szCs w:val="20"/>
              </w:rPr>
              <w:t>es 3 veces más elevada cuando este niño o niña pertenece a un pueblo indígena</w:t>
            </w:r>
            <w:r w:rsidR="00602222">
              <w:rPr>
                <w:rFonts w:ascii="Source Sans Pro Regular" w:hAnsi="Source Sans Pro Regular"/>
                <w:color w:val="898D8D"/>
                <w:sz w:val="20"/>
                <w:szCs w:val="20"/>
              </w:rPr>
              <w:t xml:space="preserve"> (2015)</w:t>
            </w:r>
            <w:r w:rsidRPr="00D76E2C">
              <w:rPr>
                <w:rFonts w:ascii="Source Sans Pro Regular" w:hAnsi="Source Sans Pro Regular"/>
                <w:color w:val="898D8D"/>
                <w:sz w:val="20"/>
                <w:szCs w:val="20"/>
              </w:rPr>
              <w:t xml:space="preserve">. </w:t>
            </w:r>
          </w:p>
          <w:p w14:paraId="5D3FA3D1" w14:textId="57DF7FD9" w:rsidR="00F82798" w:rsidRPr="00D76E2C" w:rsidRDefault="000A63FB" w:rsidP="00602222">
            <w:pPr>
              <w:pStyle w:val="Normal1"/>
              <w:numPr>
                <w:ilvl w:val="0"/>
                <w:numId w:val="9"/>
              </w:numPr>
              <w:spacing w:after="60"/>
              <w:ind w:left="414" w:hanging="414"/>
              <w:rPr>
                <w:rFonts w:ascii="Source Sans Pro Regular" w:hAnsi="Source Sans Pro Regular"/>
                <w:color w:val="898D8D"/>
                <w:sz w:val="20"/>
                <w:szCs w:val="20"/>
              </w:rPr>
            </w:pPr>
            <w:r w:rsidRPr="00D76E2C">
              <w:rPr>
                <w:rFonts w:ascii="Source Sans Pro Regular" w:hAnsi="Source Sans Pro Regular"/>
                <w:color w:val="898D8D"/>
                <w:sz w:val="20"/>
                <w:szCs w:val="20"/>
              </w:rPr>
              <w:t xml:space="preserve">El 33% de los </w:t>
            </w:r>
            <w:r w:rsidR="00602222">
              <w:rPr>
                <w:rFonts w:ascii="Source Sans Pro Regular" w:hAnsi="Source Sans Pro Regular"/>
                <w:color w:val="898D8D"/>
                <w:sz w:val="20"/>
                <w:szCs w:val="20"/>
              </w:rPr>
              <w:t xml:space="preserve">niños y las niñas </w:t>
            </w:r>
            <w:r w:rsidRPr="00D76E2C">
              <w:rPr>
                <w:rFonts w:ascii="Source Sans Pro Regular" w:hAnsi="Source Sans Pro Regular"/>
                <w:color w:val="898D8D"/>
                <w:sz w:val="20"/>
                <w:szCs w:val="20"/>
              </w:rPr>
              <w:t>con pertenencia indígena no asiste a la escuela, frente al 10% de quienes no hablan una lengua indígena.</w:t>
            </w:r>
          </w:p>
        </w:tc>
        <w:tc>
          <w:tcPr>
            <w:tcW w:w="3117" w:type="dxa"/>
          </w:tcPr>
          <w:p w14:paraId="6D7C622A" w14:textId="77777777" w:rsidR="00F82798" w:rsidRPr="00D76E2C" w:rsidRDefault="00F82798">
            <w:pPr>
              <w:pStyle w:val="Normal1"/>
              <w:rPr>
                <w:rFonts w:ascii="Source Sans Pro Regular" w:hAnsi="Source Sans Pro Regular"/>
                <w:color w:val="898D8D"/>
                <w:sz w:val="20"/>
                <w:szCs w:val="20"/>
              </w:rPr>
            </w:pPr>
          </w:p>
        </w:tc>
      </w:tr>
      <w:tr w:rsidR="00F82798" w:rsidRPr="002C0FBF" w14:paraId="6B2BE46B" w14:textId="77777777" w:rsidTr="004D43EE">
        <w:tc>
          <w:tcPr>
            <w:tcW w:w="2174" w:type="dxa"/>
          </w:tcPr>
          <w:p w14:paraId="33717DCA" w14:textId="77777777" w:rsidR="00F82798" w:rsidRPr="00D76E2C" w:rsidRDefault="000A63FB">
            <w:pPr>
              <w:pStyle w:val="Normal1"/>
              <w:rPr>
                <w:rFonts w:ascii="Source Sans Pro Regular" w:hAnsi="Source Sans Pro Regular"/>
                <w:b/>
                <w:color w:val="898D8D"/>
                <w:sz w:val="20"/>
                <w:szCs w:val="20"/>
              </w:rPr>
            </w:pPr>
            <w:r w:rsidRPr="00D76E2C">
              <w:rPr>
                <w:rFonts w:ascii="Source Sans Pro Regular" w:hAnsi="Source Sans Pro Regular"/>
                <w:b/>
                <w:color w:val="898D8D"/>
                <w:sz w:val="20"/>
                <w:szCs w:val="20"/>
              </w:rPr>
              <w:t>Inasistencia escolar y trabajo entre la población infantil</w:t>
            </w:r>
          </w:p>
          <w:p w14:paraId="23F3878D" w14:textId="77777777" w:rsidR="00F82798" w:rsidRPr="00D76E2C" w:rsidRDefault="00F82798">
            <w:pPr>
              <w:pStyle w:val="Normal1"/>
              <w:rPr>
                <w:rFonts w:ascii="Source Sans Pro Regular" w:hAnsi="Source Sans Pro Regular"/>
                <w:b/>
                <w:color w:val="898D8D"/>
                <w:sz w:val="20"/>
                <w:szCs w:val="20"/>
              </w:rPr>
            </w:pPr>
          </w:p>
          <w:p w14:paraId="50A3E58B" w14:textId="72E406FE" w:rsidR="00F82798" w:rsidRPr="00D76E2C" w:rsidRDefault="000A63FB" w:rsidP="00277744">
            <w:pPr>
              <w:pStyle w:val="Normal1"/>
              <w:rPr>
                <w:rFonts w:ascii="Source Sans Pro Regular" w:hAnsi="Source Sans Pro Regular"/>
                <w:color w:val="898D8D"/>
                <w:sz w:val="20"/>
                <w:szCs w:val="20"/>
              </w:rPr>
            </w:pPr>
            <w:r w:rsidRPr="00D76E2C">
              <w:rPr>
                <w:rFonts w:ascii="Source Sans Pro Regular" w:hAnsi="Source Sans Pro Regular"/>
                <w:color w:val="898D8D"/>
                <w:sz w:val="20"/>
                <w:szCs w:val="20"/>
              </w:rPr>
              <w:t>Fuente: Diagnóstico (página 284 y s</w:t>
            </w:r>
            <w:r w:rsidR="00277744">
              <w:rPr>
                <w:rFonts w:ascii="Source Sans Pro Regular" w:hAnsi="Source Sans Pro Regular"/>
                <w:color w:val="898D8D"/>
                <w:sz w:val="20"/>
                <w:szCs w:val="20"/>
              </w:rPr>
              <w:t>iguientes</w:t>
            </w:r>
            <w:r w:rsidRPr="00D76E2C">
              <w:rPr>
                <w:rFonts w:ascii="Source Sans Pro Regular" w:hAnsi="Source Sans Pro Regular"/>
                <w:color w:val="898D8D"/>
                <w:sz w:val="20"/>
                <w:szCs w:val="20"/>
              </w:rPr>
              <w:t>, cuadro 6.9)</w:t>
            </w:r>
          </w:p>
        </w:tc>
        <w:tc>
          <w:tcPr>
            <w:tcW w:w="4821" w:type="dxa"/>
          </w:tcPr>
          <w:p w14:paraId="3AA9DD9D" w14:textId="77777777" w:rsidR="00F82798" w:rsidRPr="00D76E2C" w:rsidRDefault="000A63FB" w:rsidP="00EA3194">
            <w:pPr>
              <w:pStyle w:val="Normal1"/>
              <w:numPr>
                <w:ilvl w:val="0"/>
                <w:numId w:val="9"/>
              </w:numPr>
              <w:spacing w:after="60"/>
              <w:ind w:left="414" w:hanging="414"/>
              <w:rPr>
                <w:rFonts w:ascii="Source Sans Pro Regular" w:hAnsi="Source Sans Pro Regular"/>
                <w:color w:val="898D8D"/>
                <w:sz w:val="20"/>
                <w:szCs w:val="20"/>
              </w:rPr>
            </w:pPr>
            <w:r w:rsidRPr="00D76E2C">
              <w:rPr>
                <w:rFonts w:ascii="Source Sans Pro Regular" w:hAnsi="Source Sans Pro Regular"/>
                <w:color w:val="898D8D"/>
                <w:sz w:val="20"/>
                <w:szCs w:val="20"/>
              </w:rPr>
              <w:t>El 63.4% de la población entre 12 y 17 años que trabaja no asiste a la escuela (2015).</w:t>
            </w:r>
          </w:p>
          <w:p w14:paraId="35EDE1EA" w14:textId="5B7E2710" w:rsidR="00F82798" w:rsidRPr="00D76E2C" w:rsidRDefault="000A63FB" w:rsidP="00301049">
            <w:pPr>
              <w:pStyle w:val="Normal1"/>
              <w:numPr>
                <w:ilvl w:val="0"/>
                <w:numId w:val="9"/>
              </w:numPr>
              <w:spacing w:after="60"/>
              <w:ind w:left="414" w:hanging="414"/>
              <w:rPr>
                <w:rFonts w:ascii="Source Sans Pro Regular" w:hAnsi="Source Sans Pro Regular"/>
                <w:color w:val="898D8D"/>
                <w:sz w:val="20"/>
                <w:szCs w:val="20"/>
              </w:rPr>
            </w:pPr>
            <w:r w:rsidRPr="00D76E2C">
              <w:rPr>
                <w:rFonts w:ascii="Source Sans Pro Regular" w:hAnsi="Source Sans Pro Regular"/>
                <w:color w:val="898D8D"/>
                <w:sz w:val="20"/>
                <w:szCs w:val="20"/>
              </w:rPr>
              <w:t>El porcentaje de inasistencia en</w:t>
            </w:r>
            <w:r w:rsidR="00301049">
              <w:rPr>
                <w:rFonts w:ascii="Source Sans Pro Regular" w:hAnsi="Source Sans Pro Regular"/>
                <w:color w:val="898D8D"/>
                <w:sz w:val="20"/>
                <w:szCs w:val="20"/>
              </w:rPr>
              <w:t xml:space="preserve"> la población entre </w:t>
            </w:r>
            <w:r w:rsidRPr="00D76E2C">
              <w:rPr>
                <w:rFonts w:ascii="Source Sans Pro Regular" w:hAnsi="Source Sans Pro Regular"/>
                <w:color w:val="898D8D"/>
                <w:sz w:val="20"/>
                <w:szCs w:val="20"/>
              </w:rPr>
              <w:t xml:space="preserve">12 </w:t>
            </w:r>
            <w:r w:rsidR="00301049">
              <w:rPr>
                <w:rFonts w:ascii="Source Sans Pro Regular" w:hAnsi="Source Sans Pro Regular"/>
                <w:color w:val="898D8D"/>
                <w:sz w:val="20"/>
                <w:szCs w:val="20"/>
              </w:rPr>
              <w:t>y</w:t>
            </w:r>
            <w:r w:rsidRPr="00D76E2C">
              <w:rPr>
                <w:rFonts w:ascii="Source Sans Pro Regular" w:hAnsi="Source Sans Pro Regular"/>
                <w:color w:val="898D8D"/>
                <w:sz w:val="20"/>
                <w:szCs w:val="20"/>
              </w:rPr>
              <w:t xml:space="preserve"> 17 </w:t>
            </w:r>
            <w:r w:rsidR="00301049">
              <w:rPr>
                <w:rFonts w:ascii="Source Sans Pro Regular" w:hAnsi="Source Sans Pro Regular"/>
                <w:color w:val="898D8D"/>
                <w:sz w:val="20"/>
                <w:szCs w:val="20"/>
              </w:rPr>
              <w:t xml:space="preserve">años </w:t>
            </w:r>
            <w:r w:rsidRPr="00D76E2C">
              <w:rPr>
                <w:rFonts w:ascii="Source Sans Pro Regular" w:hAnsi="Source Sans Pro Regular"/>
                <w:color w:val="898D8D"/>
                <w:sz w:val="20"/>
                <w:szCs w:val="20"/>
              </w:rPr>
              <w:t xml:space="preserve">que trabaja es más elevado entre los hombres (66.7%) que entre las mujeres (57.0%). </w:t>
            </w:r>
          </w:p>
        </w:tc>
        <w:tc>
          <w:tcPr>
            <w:tcW w:w="3117" w:type="dxa"/>
          </w:tcPr>
          <w:p w14:paraId="0200939F" w14:textId="77777777" w:rsidR="00F82798" w:rsidRPr="00D76E2C" w:rsidRDefault="00F82798">
            <w:pPr>
              <w:pStyle w:val="Normal1"/>
              <w:rPr>
                <w:rFonts w:ascii="Source Sans Pro Regular" w:hAnsi="Source Sans Pro Regular"/>
                <w:color w:val="898D8D"/>
                <w:sz w:val="20"/>
                <w:szCs w:val="20"/>
              </w:rPr>
            </w:pPr>
          </w:p>
        </w:tc>
      </w:tr>
      <w:tr w:rsidR="00F82798" w:rsidRPr="002C0FBF" w14:paraId="24F8AA1C" w14:textId="77777777" w:rsidTr="004D43EE">
        <w:tc>
          <w:tcPr>
            <w:tcW w:w="2174" w:type="dxa"/>
          </w:tcPr>
          <w:p w14:paraId="0DE6DCC8" w14:textId="77777777" w:rsidR="00F82798" w:rsidRPr="00D76E2C" w:rsidRDefault="000A63FB">
            <w:pPr>
              <w:pStyle w:val="Normal1"/>
              <w:rPr>
                <w:rFonts w:ascii="Source Sans Pro Regular" w:hAnsi="Source Sans Pro Regular"/>
                <w:b/>
                <w:color w:val="898D8D"/>
                <w:sz w:val="20"/>
                <w:szCs w:val="20"/>
              </w:rPr>
            </w:pPr>
            <w:r w:rsidRPr="00D76E2C">
              <w:rPr>
                <w:rFonts w:ascii="Source Sans Pro Regular" w:hAnsi="Source Sans Pro Regular"/>
                <w:b/>
                <w:color w:val="898D8D"/>
                <w:sz w:val="20"/>
                <w:szCs w:val="20"/>
              </w:rPr>
              <w:t>Movilidad escolar (tiempos y costos)</w:t>
            </w:r>
          </w:p>
          <w:p w14:paraId="6CB08B18" w14:textId="77777777" w:rsidR="00F82798" w:rsidRPr="00D76E2C" w:rsidRDefault="00F82798">
            <w:pPr>
              <w:pStyle w:val="Normal1"/>
              <w:rPr>
                <w:rFonts w:ascii="Source Sans Pro Regular" w:hAnsi="Source Sans Pro Regular"/>
                <w:color w:val="898D8D"/>
                <w:sz w:val="20"/>
                <w:szCs w:val="20"/>
              </w:rPr>
            </w:pPr>
          </w:p>
          <w:p w14:paraId="4BD4F887" w14:textId="77777777" w:rsidR="00F82798" w:rsidRPr="00D76E2C" w:rsidRDefault="000A63FB">
            <w:pPr>
              <w:pStyle w:val="Normal1"/>
              <w:rPr>
                <w:rFonts w:ascii="Source Sans Pro Regular" w:hAnsi="Source Sans Pro Regular"/>
                <w:color w:val="898D8D"/>
                <w:sz w:val="20"/>
                <w:szCs w:val="20"/>
              </w:rPr>
            </w:pPr>
            <w:r w:rsidRPr="00D76E2C">
              <w:rPr>
                <w:rFonts w:ascii="Source Sans Pro Regular" w:hAnsi="Source Sans Pro Regular"/>
                <w:color w:val="898D8D"/>
                <w:sz w:val="20"/>
                <w:szCs w:val="20"/>
              </w:rPr>
              <w:t>Fuentes: Diagnóstico (cuadro 6.11 y 6.13)</w:t>
            </w:r>
          </w:p>
        </w:tc>
        <w:tc>
          <w:tcPr>
            <w:tcW w:w="4821" w:type="dxa"/>
          </w:tcPr>
          <w:p w14:paraId="444F2098" w14:textId="19D5D384" w:rsidR="00F82798" w:rsidRPr="00D76E2C" w:rsidRDefault="00336729" w:rsidP="00336729">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En la Ciudad, h</w:t>
            </w:r>
            <w:r w:rsidR="000A63FB" w:rsidRPr="00D76E2C">
              <w:rPr>
                <w:rFonts w:ascii="Source Sans Pro Regular" w:hAnsi="Source Sans Pro Regular"/>
                <w:color w:val="898D8D"/>
                <w:sz w:val="20"/>
                <w:szCs w:val="20"/>
              </w:rPr>
              <w:t>a</w:t>
            </w:r>
            <w:r>
              <w:rPr>
                <w:rFonts w:ascii="Source Sans Pro Regular" w:hAnsi="Source Sans Pro Regular"/>
                <w:color w:val="898D8D"/>
                <w:sz w:val="20"/>
                <w:szCs w:val="20"/>
              </w:rPr>
              <w:t>y</w:t>
            </w:r>
            <w:r w:rsidR="000A63FB" w:rsidRPr="00D76E2C">
              <w:rPr>
                <w:rFonts w:ascii="Source Sans Pro Regular" w:hAnsi="Source Sans Pro Regular"/>
                <w:color w:val="898D8D"/>
                <w:sz w:val="20"/>
                <w:szCs w:val="20"/>
              </w:rPr>
              <w:t xml:space="preserve"> 2,346,076 personas inscritas en algún tipo o nivel educativo</w:t>
            </w:r>
            <w:r>
              <w:rPr>
                <w:rFonts w:ascii="Source Sans Pro Regular" w:hAnsi="Source Sans Pro Regular"/>
                <w:color w:val="898D8D"/>
                <w:sz w:val="20"/>
                <w:szCs w:val="20"/>
              </w:rPr>
              <w:t xml:space="preserve"> (2015):</w:t>
            </w:r>
          </w:p>
          <w:p w14:paraId="2AA240FC" w14:textId="3D596083" w:rsidR="00F82798" w:rsidRPr="00D76E2C" w:rsidRDefault="00DE702E" w:rsidP="00DE702E">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En e</w:t>
            </w:r>
            <w:r w:rsidR="000A63FB" w:rsidRPr="00D76E2C">
              <w:rPr>
                <w:rFonts w:ascii="Source Sans Pro Regular" w:hAnsi="Source Sans Pro Regular"/>
                <w:color w:val="898D8D"/>
                <w:sz w:val="20"/>
                <w:szCs w:val="20"/>
              </w:rPr>
              <w:t>ducación básica: 1,536,832 (66%)</w:t>
            </w:r>
          </w:p>
          <w:p w14:paraId="2DA3CE40" w14:textId="6DAF522A" w:rsidR="00F82798" w:rsidRPr="00D76E2C" w:rsidRDefault="00DE702E" w:rsidP="00DE702E">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En e</w:t>
            </w:r>
            <w:r w:rsidR="000A63FB" w:rsidRPr="00D76E2C">
              <w:rPr>
                <w:rFonts w:ascii="Source Sans Pro Regular" w:hAnsi="Source Sans Pro Regular"/>
                <w:color w:val="898D8D"/>
                <w:sz w:val="20"/>
                <w:szCs w:val="20"/>
              </w:rPr>
              <w:t>ducación media superior: 385,589 (16%)</w:t>
            </w:r>
          </w:p>
          <w:p w14:paraId="002C4AC4" w14:textId="613A0E4E" w:rsidR="00F82798" w:rsidRPr="00D76E2C" w:rsidRDefault="00DE702E" w:rsidP="00DE702E">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En e</w:t>
            </w:r>
            <w:r w:rsidR="000A63FB" w:rsidRPr="00D76E2C">
              <w:rPr>
                <w:rFonts w:ascii="Source Sans Pro Regular" w:hAnsi="Source Sans Pro Regular"/>
                <w:color w:val="898D8D"/>
                <w:sz w:val="20"/>
                <w:szCs w:val="20"/>
              </w:rPr>
              <w:t>ducación superior: 423,655 (18%)</w:t>
            </w:r>
          </w:p>
          <w:p w14:paraId="41B79D94" w14:textId="4EDB089A" w:rsidR="00F82798" w:rsidRPr="00D76E2C" w:rsidRDefault="004F1B04" w:rsidP="004F1B04">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 xml:space="preserve">Una parte de las </w:t>
            </w:r>
            <w:r w:rsidR="000A63FB" w:rsidRPr="00D76E2C">
              <w:rPr>
                <w:rFonts w:ascii="Source Sans Pro Regular" w:hAnsi="Source Sans Pro Regular"/>
                <w:color w:val="898D8D"/>
                <w:sz w:val="20"/>
                <w:szCs w:val="20"/>
              </w:rPr>
              <w:t xml:space="preserve">personas </w:t>
            </w:r>
            <w:r>
              <w:rPr>
                <w:rFonts w:ascii="Source Sans Pro Regular" w:hAnsi="Source Sans Pro Regular"/>
                <w:color w:val="898D8D"/>
                <w:sz w:val="20"/>
                <w:szCs w:val="20"/>
              </w:rPr>
              <w:t xml:space="preserve">inscritas en algún tipo o nivel educativo </w:t>
            </w:r>
            <w:r w:rsidR="000A63FB" w:rsidRPr="00D76E2C">
              <w:rPr>
                <w:rFonts w:ascii="Source Sans Pro Regular" w:hAnsi="Source Sans Pro Regular"/>
                <w:color w:val="898D8D"/>
                <w:sz w:val="20"/>
                <w:szCs w:val="20"/>
              </w:rPr>
              <w:t>asist</w:t>
            </w:r>
            <w:r>
              <w:rPr>
                <w:rFonts w:ascii="Source Sans Pro Regular" w:hAnsi="Source Sans Pro Regular"/>
                <w:color w:val="898D8D"/>
                <w:sz w:val="20"/>
                <w:szCs w:val="20"/>
              </w:rPr>
              <w:t>en</w:t>
            </w:r>
            <w:r w:rsidR="000A63FB" w:rsidRPr="00D76E2C">
              <w:rPr>
                <w:rFonts w:ascii="Source Sans Pro Regular" w:hAnsi="Source Sans Pro Regular"/>
                <w:color w:val="898D8D"/>
                <w:sz w:val="20"/>
                <w:szCs w:val="20"/>
              </w:rPr>
              <w:t xml:space="preserve"> a la escuela en una alcaldía diferente a la </w:t>
            </w:r>
            <w:r>
              <w:rPr>
                <w:rFonts w:ascii="Source Sans Pro Regular" w:hAnsi="Source Sans Pro Regular"/>
                <w:color w:val="898D8D"/>
                <w:sz w:val="20"/>
                <w:szCs w:val="20"/>
              </w:rPr>
              <w:t>de residencia, por lo que deben desplazarse diariamente entre la demar</w:t>
            </w:r>
            <w:r w:rsidR="00FC08A8">
              <w:rPr>
                <w:rFonts w:ascii="Source Sans Pro Regular" w:hAnsi="Source Sans Pro Regular"/>
                <w:color w:val="898D8D"/>
                <w:sz w:val="20"/>
                <w:szCs w:val="20"/>
              </w:rPr>
              <w:t xml:space="preserve">cación </w:t>
            </w:r>
            <w:r>
              <w:rPr>
                <w:rFonts w:ascii="Source Sans Pro Regular" w:hAnsi="Source Sans Pro Regular"/>
                <w:color w:val="898D8D"/>
                <w:sz w:val="20"/>
                <w:szCs w:val="20"/>
              </w:rPr>
              <w:t xml:space="preserve">donde </w:t>
            </w:r>
            <w:r w:rsidR="00FC08A8">
              <w:rPr>
                <w:rFonts w:ascii="Source Sans Pro Regular" w:hAnsi="Source Sans Pro Regular"/>
                <w:color w:val="898D8D"/>
                <w:sz w:val="20"/>
                <w:szCs w:val="20"/>
              </w:rPr>
              <w:t>viven</w:t>
            </w:r>
            <w:r>
              <w:rPr>
                <w:rFonts w:ascii="Source Sans Pro Regular" w:hAnsi="Source Sans Pro Regular"/>
                <w:color w:val="898D8D"/>
                <w:sz w:val="20"/>
                <w:szCs w:val="20"/>
              </w:rPr>
              <w:t xml:space="preserve"> y </w:t>
            </w:r>
            <w:r w:rsidR="00FC08A8">
              <w:rPr>
                <w:rFonts w:ascii="Source Sans Pro Regular" w:hAnsi="Source Sans Pro Regular"/>
                <w:color w:val="898D8D"/>
                <w:sz w:val="20"/>
                <w:szCs w:val="20"/>
              </w:rPr>
              <w:t>aquélla</w:t>
            </w:r>
            <w:r>
              <w:rPr>
                <w:rFonts w:ascii="Source Sans Pro Regular" w:hAnsi="Source Sans Pro Regular"/>
                <w:color w:val="898D8D"/>
                <w:sz w:val="20"/>
                <w:szCs w:val="20"/>
              </w:rPr>
              <w:t xml:space="preserve"> en la </w:t>
            </w:r>
            <w:r w:rsidR="00FC08A8">
              <w:rPr>
                <w:rFonts w:ascii="Source Sans Pro Regular" w:hAnsi="Source Sans Pro Regular"/>
                <w:color w:val="898D8D"/>
                <w:sz w:val="20"/>
                <w:szCs w:val="20"/>
              </w:rPr>
              <w:t>que</w:t>
            </w:r>
            <w:r>
              <w:rPr>
                <w:rFonts w:ascii="Source Sans Pro Regular" w:hAnsi="Source Sans Pro Regular"/>
                <w:color w:val="898D8D"/>
                <w:sz w:val="20"/>
                <w:szCs w:val="20"/>
              </w:rPr>
              <w:t xml:space="preserve"> estudi</w:t>
            </w:r>
            <w:r w:rsidR="00FC08A8">
              <w:rPr>
                <w:rFonts w:ascii="Source Sans Pro Regular" w:hAnsi="Source Sans Pro Regular"/>
                <w:color w:val="898D8D"/>
                <w:sz w:val="20"/>
                <w:szCs w:val="20"/>
              </w:rPr>
              <w:t>a</w:t>
            </w:r>
            <w:r>
              <w:rPr>
                <w:rFonts w:ascii="Source Sans Pro Regular" w:hAnsi="Source Sans Pro Regular"/>
                <w:color w:val="898D8D"/>
                <w:sz w:val="20"/>
                <w:szCs w:val="20"/>
              </w:rPr>
              <w:t xml:space="preserve">n. En esta </w:t>
            </w:r>
            <w:r w:rsidR="00FC08A8">
              <w:rPr>
                <w:rFonts w:ascii="Source Sans Pro Regular" w:hAnsi="Source Sans Pro Regular"/>
                <w:color w:val="898D8D"/>
                <w:sz w:val="20"/>
                <w:szCs w:val="20"/>
              </w:rPr>
              <w:t>situación</w:t>
            </w:r>
            <w:r>
              <w:rPr>
                <w:rFonts w:ascii="Source Sans Pro Regular" w:hAnsi="Source Sans Pro Regular"/>
                <w:color w:val="898D8D"/>
                <w:sz w:val="20"/>
                <w:szCs w:val="20"/>
              </w:rPr>
              <w:t xml:space="preserve"> están</w:t>
            </w:r>
            <w:r w:rsidR="006A7849">
              <w:rPr>
                <w:rFonts w:ascii="Source Sans Pro Regular" w:hAnsi="Source Sans Pro Regular"/>
                <w:color w:val="898D8D"/>
                <w:sz w:val="20"/>
                <w:szCs w:val="20"/>
              </w:rPr>
              <w:t xml:space="preserve"> 537,208 personas, de las cuales</w:t>
            </w:r>
            <w:r>
              <w:rPr>
                <w:rFonts w:ascii="Source Sans Pro Regular" w:hAnsi="Source Sans Pro Regular"/>
                <w:color w:val="898D8D"/>
                <w:sz w:val="20"/>
                <w:szCs w:val="20"/>
              </w:rPr>
              <w:t>:</w:t>
            </w:r>
          </w:p>
          <w:p w14:paraId="3C24FF5F" w14:textId="1D6BD84F" w:rsidR="00F82798" w:rsidRPr="00D76E2C" w:rsidRDefault="000A63FB" w:rsidP="006A7849">
            <w:pPr>
              <w:pStyle w:val="Normal1"/>
              <w:numPr>
                <w:ilvl w:val="0"/>
                <w:numId w:val="8"/>
              </w:numPr>
              <w:ind w:left="714" w:hanging="357"/>
              <w:rPr>
                <w:rFonts w:ascii="Source Sans Pro Regular" w:hAnsi="Source Sans Pro Regular"/>
                <w:color w:val="898D8D"/>
                <w:sz w:val="20"/>
                <w:szCs w:val="20"/>
              </w:rPr>
            </w:pPr>
            <w:r w:rsidRPr="00D76E2C">
              <w:rPr>
                <w:rFonts w:ascii="Source Sans Pro Regular" w:hAnsi="Source Sans Pro Regular"/>
                <w:color w:val="898D8D"/>
                <w:sz w:val="20"/>
                <w:szCs w:val="20"/>
              </w:rPr>
              <w:t>172,440</w:t>
            </w:r>
            <w:r w:rsidR="006A7849">
              <w:rPr>
                <w:rFonts w:ascii="Source Sans Pro Regular" w:hAnsi="Source Sans Pro Regular"/>
                <w:color w:val="898D8D"/>
                <w:sz w:val="20"/>
                <w:szCs w:val="20"/>
              </w:rPr>
              <w:t xml:space="preserve"> están inscritas en educación básica</w:t>
            </w:r>
          </w:p>
          <w:p w14:paraId="0C1D8282" w14:textId="77777777" w:rsidR="00FC08A8" w:rsidRDefault="000A63FB" w:rsidP="00FC08A8">
            <w:pPr>
              <w:pStyle w:val="Normal1"/>
              <w:numPr>
                <w:ilvl w:val="0"/>
                <w:numId w:val="8"/>
              </w:numPr>
              <w:ind w:left="714" w:hanging="357"/>
              <w:rPr>
                <w:rFonts w:ascii="Source Sans Pro Regular" w:hAnsi="Source Sans Pro Regular"/>
                <w:color w:val="898D8D"/>
                <w:sz w:val="20"/>
                <w:szCs w:val="20"/>
              </w:rPr>
            </w:pPr>
            <w:r w:rsidRPr="00D76E2C">
              <w:rPr>
                <w:rFonts w:ascii="Source Sans Pro Regular" w:hAnsi="Source Sans Pro Regular"/>
                <w:color w:val="898D8D"/>
                <w:sz w:val="20"/>
                <w:szCs w:val="20"/>
              </w:rPr>
              <w:t>149,518</w:t>
            </w:r>
            <w:r w:rsidR="006A7849">
              <w:rPr>
                <w:rFonts w:ascii="Source Sans Pro Regular" w:hAnsi="Source Sans Pro Regular"/>
                <w:color w:val="898D8D"/>
                <w:sz w:val="20"/>
                <w:szCs w:val="20"/>
              </w:rPr>
              <w:t xml:space="preserve"> en educación media superior</w:t>
            </w:r>
          </w:p>
          <w:p w14:paraId="4392E2B8" w14:textId="3AF66AEA" w:rsidR="00F82798" w:rsidRPr="00FC08A8" w:rsidRDefault="000A63FB" w:rsidP="008B1A2E">
            <w:pPr>
              <w:pStyle w:val="Normal1"/>
              <w:numPr>
                <w:ilvl w:val="0"/>
                <w:numId w:val="8"/>
              </w:numPr>
              <w:spacing w:after="60"/>
              <w:ind w:left="714" w:hanging="357"/>
              <w:rPr>
                <w:rFonts w:ascii="Source Sans Pro Regular" w:hAnsi="Source Sans Pro Regular"/>
                <w:color w:val="898D8D"/>
                <w:sz w:val="20"/>
                <w:szCs w:val="20"/>
              </w:rPr>
            </w:pPr>
            <w:r w:rsidRPr="00FC08A8">
              <w:rPr>
                <w:rFonts w:ascii="Source Sans Pro Regular" w:hAnsi="Source Sans Pro Regular"/>
                <w:color w:val="898D8D"/>
                <w:sz w:val="20"/>
                <w:szCs w:val="20"/>
              </w:rPr>
              <w:t>215,250</w:t>
            </w:r>
            <w:r w:rsidR="006A7849" w:rsidRPr="00FC08A8">
              <w:rPr>
                <w:rFonts w:ascii="Source Sans Pro Regular" w:hAnsi="Source Sans Pro Regular"/>
                <w:color w:val="898D8D"/>
                <w:sz w:val="20"/>
                <w:szCs w:val="20"/>
              </w:rPr>
              <w:t xml:space="preserve"> en educ</w:t>
            </w:r>
            <w:r w:rsidR="00E5642A">
              <w:rPr>
                <w:rFonts w:ascii="Source Sans Pro Regular" w:hAnsi="Source Sans Pro Regular"/>
                <w:color w:val="898D8D"/>
                <w:sz w:val="20"/>
                <w:szCs w:val="20"/>
              </w:rPr>
              <w:t>ación s</w:t>
            </w:r>
            <w:r w:rsidR="006A7849" w:rsidRPr="00FC08A8">
              <w:rPr>
                <w:rFonts w:ascii="Source Sans Pro Regular" w:hAnsi="Source Sans Pro Regular"/>
                <w:color w:val="898D8D"/>
                <w:sz w:val="20"/>
                <w:szCs w:val="20"/>
              </w:rPr>
              <w:t>uperio</w:t>
            </w:r>
            <w:r w:rsidR="00E5642A">
              <w:rPr>
                <w:rFonts w:ascii="Source Sans Pro Regular" w:hAnsi="Source Sans Pro Regular"/>
                <w:color w:val="898D8D"/>
                <w:sz w:val="20"/>
                <w:szCs w:val="20"/>
              </w:rPr>
              <w:t>r</w:t>
            </w:r>
            <w:r w:rsidR="006A7849" w:rsidRPr="00FC08A8">
              <w:rPr>
                <w:rFonts w:ascii="Source Sans Pro Regular" w:hAnsi="Source Sans Pro Regular"/>
                <w:color w:val="898D8D"/>
                <w:sz w:val="20"/>
                <w:szCs w:val="20"/>
              </w:rPr>
              <w:t xml:space="preserve"> </w:t>
            </w:r>
          </w:p>
          <w:p w14:paraId="18A69B3F" w14:textId="1D3876EB" w:rsidR="00F82798" w:rsidRPr="00D76E2C" w:rsidRDefault="008B1A2E" w:rsidP="008B1A2E">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Las p</w:t>
            </w:r>
            <w:r w:rsidR="000A63FB" w:rsidRPr="00D76E2C">
              <w:rPr>
                <w:rFonts w:ascii="Source Sans Pro Regular" w:hAnsi="Source Sans Pro Regular"/>
                <w:color w:val="898D8D"/>
                <w:sz w:val="20"/>
                <w:szCs w:val="20"/>
              </w:rPr>
              <w:t xml:space="preserve">rincipales alcaldías donde llegan personas a estudiar </w:t>
            </w:r>
            <w:r>
              <w:rPr>
                <w:rFonts w:ascii="Source Sans Pro Regular" w:hAnsi="Source Sans Pro Regular"/>
                <w:color w:val="898D8D"/>
                <w:sz w:val="20"/>
                <w:szCs w:val="20"/>
              </w:rPr>
              <w:t xml:space="preserve">procedentes de </w:t>
            </w:r>
            <w:r w:rsidR="000A63FB" w:rsidRPr="00D76E2C">
              <w:rPr>
                <w:rFonts w:ascii="Source Sans Pro Regular" w:hAnsi="Source Sans Pro Regular"/>
                <w:color w:val="898D8D"/>
                <w:sz w:val="20"/>
                <w:szCs w:val="20"/>
              </w:rPr>
              <w:t>otras demarcaciones</w:t>
            </w:r>
            <w:r>
              <w:rPr>
                <w:rFonts w:ascii="Source Sans Pro Regular" w:hAnsi="Source Sans Pro Regular"/>
                <w:color w:val="898D8D"/>
                <w:sz w:val="20"/>
                <w:szCs w:val="20"/>
              </w:rPr>
              <w:t xml:space="preserve"> son</w:t>
            </w:r>
            <w:r w:rsidR="000A63FB" w:rsidRPr="00D76E2C">
              <w:rPr>
                <w:rFonts w:ascii="Source Sans Pro Regular" w:hAnsi="Source Sans Pro Regular"/>
                <w:color w:val="898D8D"/>
                <w:sz w:val="20"/>
                <w:szCs w:val="20"/>
              </w:rPr>
              <w:t>:</w:t>
            </w:r>
          </w:p>
          <w:p w14:paraId="4A9E760F" w14:textId="140EB2B7" w:rsidR="00F82798" w:rsidRPr="00D76E2C" w:rsidRDefault="000A63FB" w:rsidP="00C1618F">
            <w:pPr>
              <w:pStyle w:val="Normal1"/>
              <w:numPr>
                <w:ilvl w:val="0"/>
                <w:numId w:val="8"/>
              </w:numPr>
              <w:ind w:left="714" w:hanging="357"/>
              <w:rPr>
                <w:rFonts w:ascii="Source Sans Pro Regular" w:hAnsi="Source Sans Pro Regular"/>
                <w:color w:val="898D8D"/>
                <w:sz w:val="20"/>
                <w:szCs w:val="20"/>
              </w:rPr>
            </w:pPr>
            <w:r w:rsidRPr="00D76E2C">
              <w:rPr>
                <w:rFonts w:ascii="Source Sans Pro Regular" w:hAnsi="Source Sans Pro Regular"/>
                <w:color w:val="898D8D"/>
                <w:sz w:val="20"/>
                <w:szCs w:val="20"/>
              </w:rPr>
              <w:t xml:space="preserve">Coyoacán: 18.7% </w:t>
            </w:r>
            <w:r w:rsidR="00065AAB">
              <w:rPr>
                <w:rFonts w:ascii="Source Sans Pro Regular" w:hAnsi="Source Sans Pro Regular"/>
                <w:color w:val="898D8D"/>
                <w:sz w:val="20"/>
                <w:szCs w:val="20"/>
              </w:rPr>
              <w:t>(</w:t>
            </w:r>
            <w:r w:rsidRPr="00D76E2C">
              <w:rPr>
                <w:rFonts w:ascii="Source Sans Pro Regular" w:hAnsi="Source Sans Pro Regular"/>
                <w:color w:val="898D8D"/>
                <w:sz w:val="20"/>
                <w:szCs w:val="20"/>
              </w:rPr>
              <w:t xml:space="preserve">de las personas que estudian la educación obligatoria </w:t>
            </w:r>
            <w:r w:rsidR="00C1618F">
              <w:rPr>
                <w:rFonts w:ascii="Source Sans Pro Regular" w:hAnsi="Source Sans Pro Regular"/>
                <w:color w:val="898D8D"/>
                <w:sz w:val="20"/>
                <w:szCs w:val="20"/>
              </w:rPr>
              <w:t>ahí residen en otra demarcación</w:t>
            </w:r>
            <w:r w:rsidR="00065AAB">
              <w:rPr>
                <w:rFonts w:ascii="Source Sans Pro Regular" w:hAnsi="Source Sans Pro Regular"/>
                <w:color w:val="898D8D"/>
                <w:sz w:val="20"/>
                <w:szCs w:val="20"/>
              </w:rPr>
              <w:t>)</w:t>
            </w:r>
          </w:p>
          <w:p w14:paraId="3C2403CD" w14:textId="77777777" w:rsidR="00F82798" w:rsidRPr="00D76E2C" w:rsidRDefault="000A63FB" w:rsidP="00C1618F">
            <w:pPr>
              <w:pStyle w:val="Normal1"/>
              <w:numPr>
                <w:ilvl w:val="0"/>
                <w:numId w:val="8"/>
              </w:numPr>
              <w:ind w:left="714" w:hanging="357"/>
              <w:rPr>
                <w:rFonts w:ascii="Source Sans Pro Regular" w:hAnsi="Source Sans Pro Regular"/>
                <w:color w:val="898D8D"/>
                <w:sz w:val="20"/>
                <w:szCs w:val="20"/>
              </w:rPr>
            </w:pPr>
            <w:r w:rsidRPr="00D76E2C">
              <w:rPr>
                <w:rFonts w:ascii="Source Sans Pro Regular" w:hAnsi="Source Sans Pro Regular"/>
                <w:color w:val="898D8D"/>
                <w:sz w:val="20"/>
                <w:szCs w:val="20"/>
              </w:rPr>
              <w:t>Benito Juárez: 10.8%</w:t>
            </w:r>
          </w:p>
          <w:p w14:paraId="4CB2ADF5" w14:textId="77777777" w:rsidR="00F82798" w:rsidRPr="00D76E2C" w:rsidRDefault="000A63FB" w:rsidP="00C1618F">
            <w:pPr>
              <w:pStyle w:val="Normal1"/>
              <w:numPr>
                <w:ilvl w:val="0"/>
                <w:numId w:val="8"/>
              </w:numPr>
              <w:ind w:left="714" w:hanging="357"/>
              <w:rPr>
                <w:rFonts w:ascii="Source Sans Pro Regular" w:hAnsi="Source Sans Pro Regular"/>
                <w:color w:val="898D8D"/>
                <w:sz w:val="20"/>
                <w:szCs w:val="20"/>
              </w:rPr>
            </w:pPr>
            <w:r w:rsidRPr="00D76E2C">
              <w:rPr>
                <w:rFonts w:ascii="Source Sans Pro Regular" w:hAnsi="Source Sans Pro Regular"/>
                <w:color w:val="898D8D"/>
                <w:sz w:val="20"/>
                <w:szCs w:val="20"/>
              </w:rPr>
              <w:t xml:space="preserve">Cuauhtémoc: 9.6% </w:t>
            </w:r>
          </w:p>
          <w:p w14:paraId="7DC86BB6" w14:textId="77777777" w:rsidR="00F82798" w:rsidRPr="00D76E2C" w:rsidRDefault="000A63FB" w:rsidP="00E01E65">
            <w:pPr>
              <w:pStyle w:val="Normal1"/>
              <w:numPr>
                <w:ilvl w:val="0"/>
                <w:numId w:val="8"/>
              </w:numPr>
              <w:spacing w:after="60"/>
              <w:ind w:left="714" w:hanging="357"/>
              <w:rPr>
                <w:rFonts w:ascii="Source Sans Pro Regular" w:hAnsi="Source Sans Pro Regular"/>
                <w:color w:val="898D8D"/>
                <w:sz w:val="20"/>
                <w:szCs w:val="20"/>
              </w:rPr>
            </w:pPr>
            <w:r w:rsidRPr="00D76E2C">
              <w:rPr>
                <w:rFonts w:ascii="Source Sans Pro Regular" w:hAnsi="Source Sans Pro Regular"/>
                <w:color w:val="898D8D"/>
                <w:sz w:val="20"/>
                <w:szCs w:val="20"/>
              </w:rPr>
              <w:t>Miguel Hidalgo: 7.6%</w:t>
            </w:r>
          </w:p>
          <w:p w14:paraId="035C76D0" w14:textId="496D2D3E" w:rsidR="00F82798" w:rsidRPr="00D76E2C" w:rsidRDefault="007613D3" w:rsidP="007613D3">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Las p</w:t>
            </w:r>
            <w:r w:rsidR="000A63FB" w:rsidRPr="00D76E2C">
              <w:rPr>
                <w:rFonts w:ascii="Source Sans Pro Regular" w:hAnsi="Source Sans Pro Regular"/>
                <w:color w:val="898D8D"/>
                <w:sz w:val="20"/>
                <w:szCs w:val="20"/>
              </w:rPr>
              <w:t xml:space="preserve">rincipales alcaldías donde las personas salen a estudiar a otra </w:t>
            </w:r>
            <w:r w:rsidR="00065AAB">
              <w:rPr>
                <w:rFonts w:ascii="Source Sans Pro Regular" w:hAnsi="Source Sans Pro Regular"/>
                <w:color w:val="898D8D"/>
                <w:sz w:val="20"/>
                <w:szCs w:val="20"/>
              </w:rPr>
              <w:t>demarcación son:</w:t>
            </w:r>
          </w:p>
          <w:p w14:paraId="0D46C1C3" w14:textId="5ED0BBFB" w:rsidR="00F82798" w:rsidRPr="00D76E2C" w:rsidRDefault="000A63FB" w:rsidP="00065AAB">
            <w:pPr>
              <w:pStyle w:val="Normal1"/>
              <w:numPr>
                <w:ilvl w:val="0"/>
                <w:numId w:val="8"/>
              </w:numPr>
              <w:ind w:left="714" w:hanging="357"/>
              <w:rPr>
                <w:rFonts w:ascii="Source Sans Pro Regular" w:hAnsi="Source Sans Pro Regular"/>
                <w:color w:val="898D8D"/>
                <w:sz w:val="20"/>
                <w:szCs w:val="20"/>
              </w:rPr>
            </w:pPr>
            <w:r w:rsidRPr="00D76E2C">
              <w:rPr>
                <w:rFonts w:ascii="Source Sans Pro Regular" w:hAnsi="Source Sans Pro Regular"/>
                <w:color w:val="898D8D"/>
                <w:sz w:val="20"/>
                <w:szCs w:val="20"/>
              </w:rPr>
              <w:t xml:space="preserve">Iztapalapa: 19.4% </w:t>
            </w:r>
            <w:r w:rsidR="00065AAB">
              <w:rPr>
                <w:rFonts w:ascii="Source Sans Pro Regular" w:hAnsi="Source Sans Pro Regular"/>
                <w:color w:val="898D8D"/>
                <w:sz w:val="20"/>
                <w:szCs w:val="20"/>
              </w:rPr>
              <w:t>(</w:t>
            </w:r>
            <w:r w:rsidRPr="00D76E2C">
              <w:rPr>
                <w:rFonts w:ascii="Source Sans Pro Regular" w:hAnsi="Source Sans Pro Regular"/>
                <w:color w:val="898D8D"/>
                <w:sz w:val="20"/>
                <w:szCs w:val="20"/>
              </w:rPr>
              <w:t xml:space="preserve">de las personas que </w:t>
            </w:r>
            <w:r w:rsidRPr="00D76E2C">
              <w:rPr>
                <w:rFonts w:ascii="Source Sans Pro Regular" w:hAnsi="Source Sans Pro Regular"/>
                <w:color w:val="898D8D"/>
                <w:sz w:val="20"/>
                <w:szCs w:val="20"/>
              </w:rPr>
              <w:lastRenderedPageBreak/>
              <w:t>residen allí y estudian la educación obligatoria lo hacen fuera de esta demarcación</w:t>
            </w:r>
            <w:r w:rsidR="00065AAB">
              <w:rPr>
                <w:rFonts w:ascii="Source Sans Pro Regular" w:hAnsi="Source Sans Pro Regular"/>
                <w:color w:val="898D8D"/>
                <w:sz w:val="20"/>
                <w:szCs w:val="20"/>
              </w:rPr>
              <w:t>)</w:t>
            </w:r>
          </w:p>
          <w:p w14:paraId="6E841228" w14:textId="77777777" w:rsidR="00F82798" w:rsidRPr="00D76E2C" w:rsidRDefault="000A63FB" w:rsidP="00065AAB">
            <w:pPr>
              <w:pStyle w:val="Normal1"/>
              <w:numPr>
                <w:ilvl w:val="0"/>
                <w:numId w:val="8"/>
              </w:numPr>
              <w:ind w:left="714" w:hanging="357"/>
              <w:rPr>
                <w:rFonts w:ascii="Source Sans Pro Regular" w:hAnsi="Source Sans Pro Regular"/>
                <w:color w:val="898D8D"/>
                <w:sz w:val="20"/>
                <w:szCs w:val="20"/>
              </w:rPr>
            </w:pPr>
            <w:r w:rsidRPr="00D76E2C">
              <w:rPr>
                <w:rFonts w:ascii="Source Sans Pro Regular" w:hAnsi="Source Sans Pro Regular"/>
                <w:color w:val="898D8D"/>
                <w:sz w:val="20"/>
                <w:szCs w:val="20"/>
              </w:rPr>
              <w:t>Álvaro Obregón: 10.3%</w:t>
            </w:r>
          </w:p>
          <w:p w14:paraId="5BB96AD6" w14:textId="77777777" w:rsidR="00F82798" w:rsidRPr="00D76E2C" w:rsidRDefault="000A63FB" w:rsidP="00065AAB">
            <w:pPr>
              <w:pStyle w:val="Normal1"/>
              <w:numPr>
                <w:ilvl w:val="0"/>
                <w:numId w:val="8"/>
              </w:numPr>
              <w:ind w:left="714" w:hanging="357"/>
              <w:rPr>
                <w:rFonts w:ascii="Source Sans Pro Regular" w:hAnsi="Source Sans Pro Regular"/>
                <w:color w:val="898D8D"/>
                <w:sz w:val="20"/>
                <w:szCs w:val="20"/>
              </w:rPr>
            </w:pPr>
            <w:r w:rsidRPr="00D76E2C">
              <w:rPr>
                <w:rFonts w:ascii="Source Sans Pro Regular" w:hAnsi="Source Sans Pro Regular"/>
                <w:color w:val="898D8D"/>
                <w:sz w:val="20"/>
                <w:szCs w:val="20"/>
              </w:rPr>
              <w:t xml:space="preserve">Tlalpan: 9.9% </w:t>
            </w:r>
          </w:p>
        </w:tc>
        <w:tc>
          <w:tcPr>
            <w:tcW w:w="3117" w:type="dxa"/>
          </w:tcPr>
          <w:p w14:paraId="73447991" w14:textId="77777777" w:rsidR="00F82798" w:rsidRPr="00D76E2C" w:rsidRDefault="00F82798">
            <w:pPr>
              <w:pStyle w:val="Normal1"/>
              <w:rPr>
                <w:rFonts w:ascii="Source Sans Pro Regular" w:hAnsi="Source Sans Pro Regular"/>
                <w:color w:val="898D8D"/>
                <w:sz w:val="20"/>
                <w:szCs w:val="20"/>
              </w:rPr>
            </w:pPr>
          </w:p>
        </w:tc>
      </w:tr>
      <w:tr w:rsidR="00F82798" w:rsidRPr="002C0FBF" w14:paraId="5577E90A" w14:textId="77777777" w:rsidTr="004D43EE">
        <w:tc>
          <w:tcPr>
            <w:tcW w:w="2174" w:type="dxa"/>
          </w:tcPr>
          <w:p w14:paraId="72A2C684" w14:textId="77777777" w:rsidR="00F82798" w:rsidRPr="005F22B8" w:rsidRDefault="000A63FB">
            <w:pPr>
              <w:pStyle w:val="Normal1"/>
              <w:rPr>
                <w:rFonts w:ascii="Source Sans Pro Regular" w:hAnsi="Source Sans Pro Regular"/>
                <w:b/>
                <w:color w:val="898D8D"/>
                <w:sz w:val="20"/>
                <w:szCs w:val="20"/>
              </w:rPr>
            </w:pPr>
            <w:r w:rsidRPr="005F22B8">
              <w:rPr>
                <w:rFonts w:ascii="Source Sans Pro Regular" w:hAnsi="Source Sans Pro Regular"/>
                <w:b/>
                <w:color w:val="898D8D"/>
                <w:sz w:val="20"/>
                <w:szCs w:val="20"/>
              </w:rPr>
              <w:t xml:space="preserve">Movilidad escolar </w:t>
            </w:r>
          </w:p>
          <w:p w14:paraId="69A6A7B1" w14:textId="77777777" w:rsidR="00F82798" w:rsidRPr="005F22B8" w:rsidRDefault="00F82798">
            <w:pPr>
              <w:pStyle w:val="Normal1"/>
              <w:rPr>
                <w:rFonts w:ascii="Source Sans Pro Regular" w:hAnsi="Source Sans Pro Regular"/>
                <w:color w:val="898D8D"/>
                <w:sz w:val="20"/>
                <w:szCs w:val="20"/>
              </w:rPr>
            </w:pPr>
          </w:p>
          <w:p w14:paraId="397C2750" w14:textId="77777777" w:rsidR="00F82798" w:rsidRPr="005F22B8" w:rsidRDefault="000A63FB">
            <w:pPr>
              <w:pStyle w:val="Normal1"/>
              <w:rPr>
                <w:rFonts w:ascii="Source Sans Pro Regular" w:hAnsi="Source Sans Pro Regular"/>
                <w:color w:val="898D8D"/>
                <w:sz w:val="20"/>
                <w:szCs w:val="20"/>
              </w:rPr>
            </w:pPr>
            <w:r w:rsidRPr="005F22B8">
              <w:rPr>
                <w:rFonts w:ascii="Source Sans Pro Regular" w:hAnsi="Source Sans Pro Regular"/>
                <w:color w:val="898D8D"/>
                <w:sz w:val="20"/>
                <w:szCs w:val="20"/>
              </w:rPr>
              <w:t>Fuente: Diagnóstico (cuadro 6.16)</w:t>
            </w:r>
          </w:p>
        </w:tc>
        <w:tc>
          <w:tcPr>
            <w:tcW w:w="4821" w:type="dxa"/>
          </w:tcPr>
          <w:p w14:paraId="0EFBFE74" w14:textId="77777777" w:rsidR="00107BC7" w:rsidRDefault="000A63FB" w:rsidP="00107BC7">
            <w:pPr>
              <w:pStyle w:val="Normal1"/>
              <w:numPr>
                <w:ilvl w:val="0"/>
                <w:numId w:val="9"/>
              </w:numPr>
              <w:spacing w:after="60"/>
              <w:ind w:left="414" w:hanging="414"/>
              <w:rPr>
                <w:rFonts w:ascii="Source Sans Pro Regular" w:hAnsi="Source Sans Pro Regular"/>
                <w:color w:val="898D8D"/>
                <w:sz w:val="20"/>
                <w:szCs w:val="20"/>
              </w:rPr>
            </w:pPr>
            <w:r w:rsidRPr="005F22B8">
              <w:rPr>
                <w:rFonts w:ascii="Source Sans Pro Regular" w:hAnsi="Source Sans Pro Regular"/>
                <w:color w:val="898D8D"/>
                <w:sz w:val="20"/>
                <w:szCs w:val="20"/>
              </w:rPr>
              <w:t>Existen diferencias en los patrones de localización geográfica de las escuelas donde se imparte educación básica y EMS. Las escuelas de educación básica tienden a concentrarse en las alcaldías con mayor población en edad normativa para asistir a este tipo educativo</w:t>
            </w:r>
            <w:r w:rsidR="008C7136">
              <w:rPr>
                <w:rFonts w:ascii="Source Sans Pro Regular" w:hAnsi="Source Sans Pro Regular"/>
                <w:color w:val="898D8D"/>
                <w:sz w:val="20"/>
                <w:szCs w:val="20"/>
              </w:rPr>
              <w:t xml:space="preserve"> (niños y niñas menores de 15 años)</w:t>
            </w:r>
            <w:r w:rsidRPr="005F22B8">
              <w:rPr>
                <w:rFonts w:ascii="Source Sans Pro Regular" w:hAnsi="Source Sans Pro Regular"/>
                <w:color w:val="898D8D"/>
                <w:sz w:val="20"/>
                <w:szCs w:val="20"/>
              </w:rPr>
              <w:t xml:space="preserve">, mientras que los establecimientos donde se imparte </w:t>
            </w:r>
            <w:r w:rsidR="008C7136">
              <w:rPr>
                <w:rFonts w:ascii="Source Sans Pro Regular" w:hAnsi="Source Sans Pro Regular"/>
                <w:color w:val="898D8D"/>
                <w:sz w:val="20"/>
                <w:szCs w:val="20"/>
              </w:rPr>
              <w:t xml:space="preserve">educación media superior </w:t>
            </w:r>
            <w:r w:rsidRPr="005F22B8">
              <w:rPr>
                <w:rFonts w:ascii="Source Sans Pro Regular" w:hAnsi="Source Sans Pro Regular"/>
                <w:color w:val="898D8D"/>
                <w:sz w:val="20"/>
                <w:szCs w:val="20"/>
              </w:rPr>
              <w:t>se concentran en Benito Juárez, Cuauhtémoc, Gustavo A. Madero, la zona norte de Coyoacán y la zona nororiente de Álvaro Obregón. Este patrón genera diferencias significativas en los tiempos y costos de traslado de la población entre su lu</w:t>
            </w:r>
            <w:r w:rsidR="00107BC7">
              <w:rPr>
                <w:rFonts w:ascii="Source Sans Pro Regular" w:hAnsi="Source Sans Pro Regular"/>
                <w:color w:val="898D8D"/>
                <w:sz w:val="20"/>
                <w:szCs w:val="20"/>
              </w:rPr>
              <w:t>gar de residencia y de estudio.</w:t>
            </w:r>
          </w:p>
          <w:p w14:paraId="71A8CB79" w14:textId="77777777" w:rsidR="00DB3747" w:rsidRDefault="000A63FB" w:rsidP="00DB3747">
            <w:pPr>
              <w:pStyle w:val="Normal1"/>
              <w:numPr>
                <w:ilvl w:val="0"/>
                <w:numId w:val="9"/>
              </w:numPr>
              <w:spacing w:after="60"/>
              <w:ind w:left="414" w:hanging="414"/>
              <w:rPr>
                <w:rFonts w:ascii="Source Sans Pro Regular" w:hAnsi="Source Sans Pro Regular"/>
                <w:color w:val="898D8D"/>
                <w:sz w:val="20"/>
                <w:szCs w:val="20"/>
              </w:rPr>
            </w:pPr>
            <w:r w:rsidRPr="00107BC7">
              <w:rPr>
                <w:rFonts w:ascii="Source Sans Pro Regular" w:hAnsi="Source Sans Pro Regular"/>
                <w:color w:val="898D8D"/>
                <w:sz w:val="20"/>
                <w:szCs w:val="20"/>
              </w:rPr>
              <w:t>Aproximadamente el 57.5% de los estudiantes de educación básica de la Ciudad (2015) tarda menos de 30 minutos al día en realizar el trayecto casa-escuela-casa.</w:t>
            </w:r>
            <w:r w:rsidR="000D7980">
              <w:rPr>
                <w:rFonts w:ascii="Source Sans Pro Regular" w:hAnsi="Source Sans Pro Regular"/>
                <w:color w:val="898D8D"/>
                <w:sz w:val="20"/>
                <w:szCs w:val="20"/>
              </w:rPr>
              <w:t xml:space="preserve"> </w:t>
            </w:r>
            <w:r w:rsidRPr="005F22B8">
              <w:rPr>
                <w:rFonts w:ascii="Source Sans Pro Regular" w:hAnsi="Source Sans Pro Regular"/>
                <w:color w:val="898D8D"/>
                <w:sz w:val="20"/>
                <w:szCs w:val="20"/>
              </w:rPr>
              <w:t xml:space="preserve">En </w:t>
            </w:r>
            <w:r w:rsidR="000D7980">
              <w:rPr>
                <w:rFonts w:ascii="Source Sans Pro Regular" w:hAnsi="Source Sans Pro Regular"/>
                <w:color w:val="898D8D"/>
                <w:sz w:val="20"/>
                <w:szCs w:val="20"/>
              </w:rPr>
              <w:t xml:space="preserve">educación media superior, </w:t>
            </w:r>
            <w:r w:rsidRPr="005F22B8">
              <w:rPr>
                <w:rFonts w:ascii="Source Sans Pro Regular" w:hAnsi="Source Sans Pro Regular"/>
                <w:color w:val="898D8D"/>
                <w:sz w:val="20"/>
                <w:szCs w:val="20"/>
              </w:rPr>
              <w:t>este porcentaje representa aproximadamente el 12.7%.</w:t>
            </w:r>
          </w:p>
          <w:p w14:paraId="09D415B5" w14:textId="60C38427" w:rsidR="00F82798" w:rsidRPr="005F22B8" w:rsidRDefault="000A63FB" w:rsidP="00DB3747">
            <w:pPr>
              <w:pStyle w:val="Normal1"/>
              <w:numPr>
                <w:ilvl w:val="0"/>
                <w:numId w:val="9"/>
              </w:numPr>
              <w:spacing w:after="60"/>
              <w:ind w:left="414" w:hanging="414"/>
              <w:rPr>
                <w:rFonts w:ascii="Source Sans Pro Regular" w:hAnsi="Source Sans Pro Regular"/>
                <w:color w:val="898D8D"/>
                <w:sz w:val="20"/>
                <w:szCs w:val="20"/>
              </w:rPr>
            </w:pPr>
            <w:r w:rsidRPr="005F22B8">
              <w:rPr>
                <w:rFonts w:ascii="Source Sans Pro Regular" w:hAnsi="Source Sans Pro Regular"/>
                <w:color w:val="898D8D"/>
                <w:sz w:val="20"/>
                <w:szCs w:val="20"/>
              </w:rPr>
              <w:t xml:space="preserve">Entre quienes cursan </w:t>
            </w:r>
            <w:r w:rsidR="00DB3747">
              <w:rPr>
                <w:rFonts w:ascii="Source Sans Pro Regular" w:hAnsi="Source Sans Pro Regular"/>
                <w:color w:val="898D8D"/>
                <w:sz w:val="20"/>
                <w:szCs w:val="20"/>
              </w:rPr>
              <w:t xml:space="preserve">educación media superior, destaca </w:t>
            </w:r>
            <w:r w:rsidR="00ED1DCA">
              <w:rPr>
                <w:rFonts w:ascii="Source Sans Pro Regular" w:hAnsi="Source Sans Pro Regular"/>
                <w:color w:val="898D8D"/>
                <w:sz w:val="20"/>
                <w:szCs w:val="20"/>
              </w:rPr>
              <w:t xml:space="preserve">la proporción </w:t>
            </w:r>
            <w:r w:rsidR="00DB3747">
              <w:rPr>
                <w:rFonts w:ascii="Source Sans Pro Regular" w:hAnsi="Source Sans Pro Regular"/>
                <w:color w:val="898D8D"/>
                <w:sz w:val="20"/>
                <w:szCs w:val="20"/>
              </w:rPr>
              <w:t xml:space="preserve">de </w:t>
            </w:r>
            <w:r w:rsidRPr="005F22B8">
              <w:rPr>
                <w:rFonts w:ascii="Source Sans Pro Regular" w:hAnsi="Source Sans Pro Regular"/>
                <w:color w:val="898D8D"/>
                <w:sz w:val="20"/>
                <w:szCs w:val="20"/>
              </w:rPr>
              <w:t xml:space="preserve">personas que tardan entre 1 hora y menos de 2 </w:t>
            </w:r>
            <w:r w:rsidR="00DB3747">
              <w:rPr>
                <w:rFonts w:ascii="Source Sans Pro Regular" w:hAnsi="Source Sans Pro Regular"/>
                <w:color w:val="898D8D"/>
                <w:sz w:val="20"/>
                <w:szCs w:val="20"/>
              </w:rPr>
              <w:t xml:space="preserve">horas </w:t>
            </w:r>
            <w:r w:rsidRPr="005F22B8">
              <w:rPr>
                <w:rFonts w:ascii="Source Sans Pro Regular" w:hAnsi="Source Sans Pro Regular"/>
                <w:color w:val="898D8D"/>
                <w:sz w:val="20"/>
                <w:szCs w:val="20"/>
              </w:rPr>
              <w:t>en recorrer la distancia casa-escuela-casa (el 36.9%). Además, el 1.7% tarda más de 4 horas.</w:t>
            </w:r>
          </w:p>
        </w:tc>
        <w:tc>
          <w:tcPr>
            <w:tcW w:w="3117" w:type="dxa"/>
          </w:tcPr>
          <w:p w14:paraId="2851640C" w14:textId="77777777" w:rsidR="00F82798" w:rsidRPr="005F22B8" w:rsidRDefault="00F82798">
            <w:pPr>
              <w:pStyle w:val="Normal1"/>
              <w:rPr>
                <w:rFonts w:ascii="Source Sans Pro Regular" w:hAnsi="Source Sans Pro Regular"/>
                <w:color w:val="898D8D"/>
                <w:sz w:val="20"/>
                <w:szCs w:val="20"/>
              </w:rPr>
            </w:pPr>
          </w:p>
        </w:tc>
      </w:tr>
    </w:tbl>
    <w:p w14:paraId="052B15CC" w14:textId="745D6940" w:rsidR="00283F74" w:rsidRDefault="00283F74"/>
    <w:tbl>
      <w:tblPr>
        <w:tblStyle w:val="a"/>
        <w:tblW w:w="101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4"/>
        <w:gridCol w:w="4821"/>
        <w:gridCol w:w="3117"/>
      </w:tblGrid>
      <w:tr w:rsidR="00F82798" w:rsidRPr="00283F74" w14:paraId="0ACFECF5" w14:textId="77777777" w:rsidTr="00283F74">
        <w:trPr>
          <w:trHeight w:val="340"/>
        </w:trPr>
        <w:tc>
          <w:tcPr>
            <w:tcW w:w="10112" w:type="dxa"/>
            <w:gridSpan w:val="3"/>
            <w:shd w:val="solid" w:color="008000" w:fill="auto"/>
            <w:vAlign w:val="center"/>
          </w:tcPr>
          <w:p w14:paraId="743405D0" w14:textId="4947BB55" w:rsidR="00F82798" w:rsidRPr="00283F74" w:rsidRDefault="0049710D" w:rsidP="00283F74">
            <w:pPr>
              <w:pStyle w:val="Normal1"/>
              <w:jc w:val="center"/>
              <w:rPr>
                <w:rFonts w:ascii="Source Sans Pro Regular" w:hAnsi="Source Sans Pro Regular"/>
                <w:b/>
                <w:color w:val="FFFFFF" w:themeColor="background1"/>
                <w:sz w:val="20"/>
                <w:szCs w:val="20"/>
              </w:rPr>
            </w:pPr>
            <w:r>
              <w:rPr>
                <w:rFonts w:ascii="Source Sans Pro Regular" w:hAnsi="Source Sans Pro Regular"/>
                <w:b/>
                <w:color w:val="FFFFFF" w:themeColor="background1"/>
                <w:sz w:val="20"/>
                <w:szCs w:val="20"/>
              </w:rPr>
              <w:t xml:space="preserve">(Capítulo 7) </w:t>
            </w:r>
            <w:r w:rsidR="000A63FB" w:rsidRPr="00283F74">
              <w:rPr>
                <w:rFonts w:ascii="Source Sans Pro Regular" w:hAnsi="Source Sans Pro Regular"/>
                <w:b/>
                <w:color w:val="FFFFFF" w:themeColor="background1"/>
                <w:sz w:val="20"/>
                <w:szCs w:val="20"/>
              </w:rPr>
              <w:t>I</w:t>
            </w:r>
            <w:r w:rsidR="00283F74">
              <w:rPr>
                <w:rFonts w:ascii="Source Sans Pro Regular" w:hAnsi="Source Sans Pro Regular"/>
                <w:b/>
                <w:color w:val="FFFFFF" w:themeColor="background1"/>
                <w:sz w:val="20"/>
                <w:szCs w:val="20"/>
              </w:rPr>
              <w:t>NSEGURIDAD Y VIOLENCIA PÚBLICAS</w:t>
            </w:r>
          </w:p>
        </w:tc>
      </w:tr>
      <w:tr w:rsidR="00F82798" w:rsidRPr="00283F74" w14:paraId="06C303DC" w14:textId="77777777" w:rsidTr="00283F74">
        <w:tc>
          <w:tcPr>
            <w:tcW w:w="2174" w:type="dxa"/>
            <w:shd w:val="solid" w:color="008000" w:fill="auto"/>
          </w:tcPr>
          <w:p w14:paraId="65C23829" w14:textId="77777777" w:rsidR="00F82798" w:rsidRPr="00283F74" w:rsidRDefault="000A63FB">
            <w:pPr>
              <w:pStyle w:val="Normal1"/>
              <w:rPr>
                <w:rFonts w:ascii="Source Sans Pro Regular" w:hAnsi="Source Sans Pro Regular"/>
                <w:b/>
                <w:color w:val="FFFFFF" w:themeColor="background1"/>
                <w:sz w:val="20"/>
                <w:szCs w:val="20"/>
              </w:rPr>
            </w:pPr>
            <w:r w:rsidRPr="00283F74">
              <w:rPr>
                <w:rFonts w:ascii="Source Sans Pro Regular" w:hAnsi="Source Sans Pro Regular"/>
                <w:b/>
                <w:color w:val="FFFFFF" w:themeColor="background1"/>
                <w:sz w:val="20"/>
                <w:szCs w:val="20"/>
              </w:rPr>
              <w:t>Temas y fuente</w:t>
            </w:r>
          </w:p>
        </w:tc>
        <w:tc>
          <w:tcPr>
            <w:tcW w:w="4821" w:type="dxa"/>
            <w:shd w:val="solid" w:color="008000" w:fill="auto"/>
          </w:tcPr>
          <w:p w14:paraId="66F16FD5" w14:textId="77777777" w:rsidR="00F82798" w:rsidRPr="00283F74" w:rsidRDefault="000A63FB">
            <w:pPr>
              <w:pStyle w:val="Normal1"/>
              <w:rPr>
                <w:rFonts w:ascii="Source Sans Pro Regular" w:hAnsi="Source Sans Pro Regular"/>
                <w:b/>
                <w:color w:val="FFFFFF" w:themeColor="background1"/>
                <w:sz w:val="20"/>
                <w:szCs w:val="20"/>
              </w:rPr>
            </w:pPr>
            <w:r w:rsidRPr="00283F74">
              <w:rPr>
                <w:rFonts w:ascii="Source Sans Pro Regular" w:hAnsi="Source Sans Pro Regular"/>
                <w:b/>
                <w:color w:val="FFFFFF" w:themeColor="background1"/>
                <w:sz w:val="20"/>
                <w:szCs w:val="20"/>
              </w:rPr>
              <w:t>Indicador</w:t>
            </w:r>
          </w:p>
        </w:tc>
        <w:tc>
          <w:tcPr>
            <w:tcW w:w="3117" w:type="dxa"/>
            <w:shd w:val="solid" w:color="008000" w:fill="auto"/>
          </w:tcPr>
          <w:p w14:paraId="575C30A5" w14:textId="77777777" w:rsidR="00F82798" w:rsidRPr="00283F74" w:rsidRDefault="00F82798">
            <w:pPr>
              <w:pStyle w:val="Normal1"/>
              <w:rPr>
                <w:rFonts w:ascii="Source Sans Pro Regular" w:hAnsi="Source Sans Pro Regular"/>
                <w:b/>
                <w:color w:val="FFFFFF" w:themeColor="background1"/>
                <w:sz w:val="20"/>
                <w:szCs w:val="20"/>
              </w:rPr>
            </w:pPr>
          </w:p>
        </w:tc>
      </w:tr>
      <w:tr w:rsidR="00F82798" w:rsidRPr="002C0FBF" w14:paraId="585EA35D" w14:textId="77777777" w:rsidTr="004D43EE">
        <w:tc>
          <w:tcPr>
            <w:tcW w:w="2174" w:type="dxa"/>
          </w:tcPr>
          <w:p w14:paraId="0277C134" w14:textId="77777777" w:rsidR="00F82798" w:rsidRPr="007B43DA" w:rsidRDefault="000A63FB">
            <w:pPr>
              <w:pStyle w:val="Normal1"/>
              <w:rPr>
                <w:rFonts w:ascii="Source Sans Pro Regular" w:hAnsi="Source Sans Pro Regular"/>
                <w:b/>
                <w:color w:val="898D8D"/>
                <w:sz w:val="20"/>
                <w:szCs w:val="20"/>
              </w:rPr>
            </w:pPr>
            <w:r w:rsidRPr="007B43DA">
              <w:rPr>
                <w:rFonts w:ascii="Source Sans Pro Regular" w:hAnsi="Source Sans Pro Regular"/>
                <w:b/>
                <w:color w:val="898D8D"/>
                <w:sz w:val="20"/>
                <w:szCs w:val="20"/>
              </w:rPr>
              <w:t>Incremento de incidencia delictiva</w:t>
            </w:r>
          </w:p>
          <w:p w14:paraId="473B96CC" w14:textId="77777777" w:rsidR="00F82798" w:rsidRPr="002C0FBF" w:rsidRDefault="00F82798">
            <w:pPr>
              <w:pStyle w:val="Normal1"/>
              <w:rPr>
                <w:rFonts w:ascii="Source Sans Pro Regular" w:hAnsi="Source Sans Pro Regular"/>
                <w:color w:val="898D8D"/>
                <w:sz w:val="20"/>
                <w:szCs w:val="20"/>
              </w:rPr>
            </w:pPr>
          </w:p>
          <w:p w14:paraId="5414DEB6"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(página 314, gráfica 7.1)</w:t>
            </w:r>
          </w:p>
        </w:tc>
        <w:tc>
          <w:tcPr>
            <w:tcW w:w="4821" w:type="dxa"/>
          </w:tcPr>
          <w:p w14:paraId="3FB0CB5A" w14:textId="509D3A12" w:rsidR="00F82798" w:rsidRPr="002C0FBF" w:rsidRDefault="000A63FB" w:rsidP="000E6A3D">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Entre 2010 y 2107 la tasa de incidencia delictiva en la Ciudad pasó de 44,055 delitos por cada 100,000 habitantes a 68,954, lo que representa un incremento de</w:t>
            </w:r>
            <w:r w:rsidR="00BE5BA1">
              <w:rPr>
                <w:rFonts w:ascii="Source Sans Pro Regular" w:hAnsi="Source Sans Pro Regular"/>
                <w:color w:val="898D8D"/>
                <w:sz w:val="20"/>
                <w:szCs w:val="20"/>
              </w:rPr>
              <w:t>l</w:t>
            </w:r>
            <w:r w:rsidRPr="002C0FBF">
              <w:rPr>
                <w:rFonts w:ascii="Source Sans Pro Regular" w:hAnsi="Source Sans Pro Regular"/>
                <w:color w:val="898D8D"/>
                <w:sz w:val="20"/>
                <w:szCs w:val="20"/>
              </w:rPr>
              <w:t xml:space="preserve"> 56.5% (ENVIPE, 2018).</w:t>
            </w:r>
          </w:p>
        </w:tc>
        <w:tc>
          <w:tcPr>
            <w:tcW w:w="3117" w:type="dxa"/>
          </w:tcPr>
          <w:p w14:paraId="7C76105C" w14:textId="77777777" w:rsidR="00F82798" w:rsidRPr="002C0FBF" w:rsidRDefault="00F82798">
            <w:pPr>
              <w:pStyle w:val="Normal1"/>
              <w:rPr>
                <w:rFonts w:ascii="Source Sans Pro Regular" w:hAnsi="Source Sans Pro Regular"/>
                <w:color w:val="898D8D"/>
                <w:sz w:val="20"/>
                <w:szCs w:val="20"/>
              </w:rPr>
            </w:pPr>
          </w:p>
        </w:tc>
      </w:tr>
      <w:tr w:rsidR="00F82798" w:rsidRPr="002C0FBF" w14:paraId="42F1DFDB" w14:textId="77777777" w:rsidTr="004D43EE">
        <w:tc>
          <w:tcPr>
            <w:tcW w:w="2174" w:type="dxa"/>
          </w:tcPr>
          <w:p w14:paraId="41AE100F" w14:textId="77777777" w:rsidR="00F82798" w:rsidRPr="007B43DA" w:rsidRDefault="000A63FB">
            <w:pPr>
              <w:pStyle w:val="Normal1"/>
              <w:rPr>
                <w:rFonts w:ascii="Source Sans Pro Regular" w:hAnsi="Source Sans Pro Regular"/>
                <w:b/>
                <w:color w:val="898D8D"/>
                <w:sz w:val="20"/>
                <w:szCs w:val="20"/>
              </w:rPr>
            </w:pPr>
            <w:r w:rsidRPr="007B43DA">
              <w:rPr>
                <w:rFonts w:ascii="Source Sans Pro Regular" w:hAnsi="Source Sans Pro Regular"/>
                <w:b/>
                <w:color w:val="898D8D"/>
                <w:sz w:val="20"/>
                <w:szCs w:val="20"/>
              </w:rPr>
              <w:t>Tasa de delitos del fuero común</w:t>
            </w:r>
          </w:p>
          <w:p w14:paraId="4DAAF128" w14:textId="77777777" w:rsidR="00F82798" w:rsidRPr="002C0FBF" w:rsidRDefault="00F82798">
            <w:pPr>
              <w:pStyle w:val="Normal1"/>
              <w:rPr>
                <w:rFonts w:ascii="Source Sans Pro Regular" w:hAnsi="Source Sans Pro Regular"/>
                <w:color w:val="898D8D"/>
                <w:sz w:val="20"/>
                <w:szCs w:val="20"/>
              </w:rPr>
            </w:pPr>
          </w:p>
          <w:p w14:paraId="31F25FFA"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(gráfica 7.3)</w:t>
            </w:r>
          </w:p>
        </w:tc>
        <w:tc>
          <w:tcPr>
            <w:tcW w:w="4821" w:type="dxa"/>
          </w:tcPr>
          <w:p w14:paraId="3F4962F7" w14:textId="031E3E2C" w:rsidR="00F82798" w:rsidRDefault="000A63FB" w:rsidP="000E6A3D">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Entre 2015 y 2019, la tasa de delitos del fuero común acaecidos en la Ciudad aumentaron 43.</w:t>
            </w:r>
            <w:r w:rsidR="0026107F">
              <w:rPr>
                <w:rFonts w:ascii="Source Sans Pro Regular" w:hAnsi="Source Sans Pro Regular"/>
                <w:color w:val="898D8D"/>
                <w:sz w:val="20"/>
                <w:szCs w:val="20"/>
              </w:rPr>
              <w:t>6</w:t>
            </w:r>
            <w:r w:rsidRPr="002C0FBF">
              <w:rPr>
                <w:rFonts w:ascii="Source Sans Pro Regular" w:hAnsi="Source Sans Pro Regular"/>
                <w:color w:val="898D8D"/>
                <w:sz w:val="20"/>
                <w:szCs w:val="20"/>
              </w:rPr>
              <w:t>%, al pasar de 1,873 delitos por cada 100,000 habitantes a 2,</w:t>
            </w:r>
            <w:r w:rsidR="00B2525B">
              <w:rPr>
                <w:rFonts w:ascii="Source Sans Pro Regular" w:hAnsi="Source Sans Pro Regular"/>
                <w:color w:val="898D8D"/>
                <w:sz w:val="20"/>
                <w:szCs w:val="20"/>
              </w:rPr>
              <w:t>6</w:t>
            </w:r>
            <w:r w:rsidRPr="002C0FBF">
              <w:rPr>
                <w:rFonts w:ascii="Source Sans Pro Regular" w:hAnsi="Source Sans Pro Regular"/>
                <w:color w:val="898D8D"/>
                <w:sz w:val="20"/>
                <w:szCs w:val="20"/>
              </w:rPr>
              <w:t>89 (Secretariado Ejecutivo del Sistema Nacional de Seguridad Pública, SESNSP 2020).</w:t>
            </w:r>
          </w:p>
          <w:p w14:paraId="3A58C87F" w14:textId="555A3DAB" w:rsidR="00B2525B" w:rsidRPr="00B2525B" w:rsidRDefault="00B2525B" w:rsidP="00B2525B">
            <w:pPr>
              <w:pStyle w:val="Normal1"/>
              <w:rPr>
                <w:rFonts w:ascii="Source Sans Pro Regular" w:hAnsi="Source Sans Pro Regular"/>
                <w:i/>
                <w:color w:val="898D8D"/>
                <w:sz w:val="20"/>
                <w:szCs w:val="20"/>
              </w:rPr>
            </w:pPr>
            <w:r w:rsidRPr="00B2525B">
              <w:rPr>
                <w:rFonts w:ascii="Source Sans Pro Regular" w:hAnsi="Source Sans Pro Regular"/>
                <w:i/>
                <w:color w:val="898D8D"/>
                <w:sz w:val="20"/>
                <w:szCs w:val="20"/>
              </w:rPr>
              <w:t>Los delitos del fue</w:t>
            </w:r>
            <w:r>
              <w:rPr>
                <w:rFonts w:ascii="Source Sans Pro Regular" w:hAnsi="Source Sans Pro Regular"/>
                <w:i/>
                <w:color w:val="898D8D"/>
                <w:sz w:val="20"/>
                <w:szCs w:val="20"/>
              </w:rPr>
              <w:t>r</w:t>
            </w:r>
            <w:r w:rsidRPr="00B2525B">
              <w:rPr>
                <w:rFonts w:ascii="Source Sans Pro Regular" w:hAnsi="Source Sans Pro Regular"/>
                <w:i/>
                <w:color w:val="898D8D"/>
                <w:sz w:val="20"/>
                <w:szCs w:val="20"/>
              </w:rPr>
              <w:t xml:space="preserve">o común </w:t>
            </w:r>
            <w:r>
              <w:rPr>
                <w:rFonts w:ascii="Source Sans Pro Regular" w:hAnsi="Source Sans Pro Regular"/>
                <w:i/>
                <w:color w:val="898D8D"/>
                <w:sz w:val="20"/>
                <w:szCs w:val="20"/>
              </w:rPr>
              <w:t>son los tipificados en los códigos penales de las entidades y atendidos por las instancias de procuración de justicia de los estados.</w:t>
            </w:r>
          </w:p>
        </w:tc>
        <w:tc>
          <w:tcPr>
            <w:tcW w:w="3117" w:type="dxa"/>
          </w:tcPr>
          <w:p w14:paraId="7B107F55" w14:textId="77777777" w:rsidR="00F82798" w:rsidRPr="002C0FBF" w:rsidRDefault="00F82798">
            <w:pPr>
              <w:pStyle w:val="Normal1"/>
              <w:rPr>
                <w:rFonts w:ascii="Source Sans Pro Regular" w:hAnsi="Source Sans Pro Regular"/>
                <w:color w:val="898D8D"/>
                <w:sz w:val="20"/>
                <w:szCs w:val="20"/>
              </w:rPr>
            </w:pPr>
          </w:p>
        </w:tc>
      </w:tr>
      <w:tr w:rsidR="00F82798" w:rsidRPr="002C0FBF" w14:paraId="34A0755A" w14:textId="77777777" w:rsidTr="004D43EE">
        <w:tc>
          <w:tcPr>
            <w:tcW w:w="2174" w:type="dxa"/>
          </w:tcPr>
          <w:p w14:paraId="5425B7B0" w14:textId="77777777" w:rsidR="00F82798" w:rsidRPr="007B43DA" w:rsidRDefault="000A63FB">
            <w:pPr>
              <w:pStyle w:val="Normal1"/>
              <w:rPr>
                <w:rFonts w:ascii="Source Sans Pro Regular" w:hAnsi="Source Sans Pro Regular"/>
                <w:b/>
                <w:color w:val="898D8D"/>
                <w:sz w:val="20"/>
                <w:szCs w:val="20"/>
              </w:rPr>
            </w:pPr>
            <w:r w:rsidRPr="007B43DA">
              <w:rPr>
                <w:rFonts w:ascii="Source Sans Pro Regular" w:hAnsi="Source Sans Pro Regular"/>
                <w:b/>
                <w:color w:val="898D8D"/>
                <w:sz w:val="20"/>
                <w:szCs w:val="20"/>
              </w:rPr>
              <w:t xml:space="preserve">Incremento de delitos </w:t>
            </w:r>
            <w:r w:rsidRPr="007B43DA">
              <w:rPr>
                <w:rFonts w:ascii="Source Sans Pro Regular" w:hAnsi="Source Sans Pro Regular"/>
                <w:b/>
                <w:color w:val="898D8D"/>
                <w:sz w:val="20"/>
                <w:szCs w:val="20"/>
              </w:rPr>
              <w:lastRenderedPageBreak/>
              <w:t>denunciados entre 2015 y 2019</w:t>
            </w:r>
          </w:p>
          <w:p w14:paraId="4604C0B1" w14:textId="77777777" w:rsidR="00F82798" w:rsidRPr="002C0FBF" w:rsidRDefault="00F82798">
            <w:pPr>
              <w:pStyle w:val="Normal1"/>
              <w:rPr>
                <w:rFonts w:ascii="Source Sans Pro Regular" w:hAnsi="Source Sans Pro Regular"/>
                <w:color w:val="898D8D"/>
                <w:sz w:val="20"/>
                <w:szCs w:val="20"/>
              </w:rPr>
            </w:pPr>
          </w:p>
          <w:p w14:paraId="3F611367"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(gráfica 7.3)</w:t>
            </w:r>
          </w:p>
        </w:tc>
        <w:tc>
          <w:tcPr>
            <w:tcW w:w="4821" w:type="dxa"/>
          </w:tcPr>
          <w:p w14:paraId="0A322CBD" w14:textId="2EDA670E" w:rsidR="00F82798" w:rsidRPr="002C0FBF" w:rsidRDefault="000A63FB" w:rsidP="004C69A3">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lastRenderedPageBreak/>
              <w:t>Entre 2015 y 2019 (SESNSP, 2020):</w:t>
            </w:r>
          </w:p>
          <w:p w14:paraId="448A817C" w14:textId="77777777" w:rsidR="000B5E07" w:rsidRDefault="000A63FB" w:rsidP="000B5E07">
            <w:pPr>
              <w:pStyle w:val="Normal1"/>
              <w:numPr>
                <w:ilvl w:val="0"/>
                <w:numId w:val="8"/>
              </w:numPr>
              <w:spacing w:after="60"/>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lastRenderedPageBreak/>
              <w:t>El delito por narcomenudeo pasó de 1,522 a 6,098 denuncias, lo que representa un incremento del 30</w:t>
            </w:r>
            <w:r w:rsidR="000B5E07">
              <w:rPr>
                <w:rFonts w:ascii="Source Sans Pro Regular" w:hAnsi="Source Sans Pro Regular"/>
                <w:color w:val="898D8D"/>
                <w:sz w:val="20"/>
                <w:szCs w:val="20"/>
              </w:rPr>
              <w:t>1</w:t>
            </w:r>
            <w:r w:rsidRPr="002C0FBF">
              <w:rPr>
                <w:rFonts w:ascii="Source Sans Pro Regular" w:hAnsi="Source Sans Pro Regular"/>
                <w:color w:val="898D8D"/>
                <w:sz w:val="20"/>
                <w:szCs w:val="20"/>
              </w:rPr>
              <w:t>%.</w:t>
            </w:r>
          </w:p>
          <w:p w14:paraId="2ECB43F8" w14:textId="77777777" w:rsidR="0043226C" w:rsidRDefault="000A63FB" w:rsidP="0043226C">
            <w:pPr>
              <w:pStyle w:val="Normal1"/>
              <w:numPr>
                <w:ilvl w:val="0"/>
                <w:numId w:val="8"/>
              </w:numPr>
              <w:spacing w:after="60"/>
              <w:ind w:left="714" w:hanging="357"/>
              <w:rPr>
                <w:rFonts w:ascii="Source Sans Pro Regular" w:hAnsi="Source Sans Pro Regular"/>
                <w:color w:val="898D8D"/>
                <w:sz w:val="20"/>
                <w:szCs w:val="20"/>
              </w:rPr>
            </w:pPr>
            <w:r w:rsidRPr="0043226C">
              <w:rPr>
                <w:rFonts w:ascii="Source Sans Pro Regular" w:hAnsi="Source Sans Pro Regular"/>
                <w:color w:val="898D8D"/>
                <w:sz w:val="20"/>
                <w:szCs w:val="20"/>
              </w:rPr>
              <w:t>El número de secuestros denunciados pasó de 55 a 175, un incremento equivalente al 218%.</w:t>
            </w:r>
          </w:p>
          <w:p w14:paraId="71B09853" w14:textId="46FB5B6B" w:rsidR="00F82798" w:rsidRPr="0043226C" w:rsidRDefault="000A63FB" w:rsidP="0043226C">
            <w:pPr>
              <w:pStyle w:val="Normal1"/>
              <w:numPr>
                <w:ilvl w:val="0"/>
                <w:numId w:val="8"/>
              </w:numPr>
              <w:spacing w:after="60"/>
              <w:ind w:left="714" w:hanging="357"/>
              <w:rPr>
                <w:rFonts w:ascii="Source Sans Pro Regular" w:hAnsi="Source Sans Pro Regular"/>
                <w:color w:val="898D8D"/>
                <w:sz w:val="20"/>
                <w:szCs w:val="20"/>
              </w:rPr>
            </w:pPr>
            <w:r w:rsidRPr="0043226C">
              <w:rPr>
                <w:rFonts w:ascii="Source Sans Pro Regular" w:hAnsi="Source Sans Pro Regular"/>
                <w:color w:val="898D8D"/>
                <w:sz w:val="20"/>
                <w:szCs w:val="20"/>
              </w:rPr>
              <w:t>Los delitos de abuso sexual pasaron de 1,646 a 4,058, un incremento del 146.5%.</w:t>
            </w:r>
          </w:p>
          <w:p w14:paraId="414E310E" w14:textId="0BEBEEF6" w:rsidR="00F82798" w:rsidRPr="002C0FBF" w:rsidRDefault="000A63FB" w:rsidP="0043226C">
            <w:pPr>
              <w:pStyle w:val="Normal1"/>
              <w:numPr>
                <w:ilvl w:val="0"/>
                <w:numId w:val="8"/>
              </w:numPr>
              <w:spacing w:after="60"/>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Los homicidios dolosos pasaron de 7</w:t>
            </w:r>
            <w:r w:rsidR="00555B76">
              <w:rPr>
                <w:rFonts w:ascii="Source Sans Pro Regular" w:hAnsi="Source Sans Pro Regular"/>
                <w:color w:val="898D8D"/>
                <w:sz w:val="20"/>
                <w:szCs w:val="20"/>
              </w:rPr>
              <w:t>86</w:t>
            </w:r>
            <w:r w:rsidRPr="002C0FBF">
              <w:rPr>
                <w:rFonts w:ascii="Source Sans Pro Regular" w:hAnsi="Source Sans Pro Regular"/>
                <w:color w:val="898D8D"/>
                <w:sz w:val="20"/>
                <w:szCs w:val="20"/>
              </w:rPr>
              <w:t xml:space="preserve"> a 1,397, lo </w:t>
            </w:r>
            <w:r w:rsidR="00891809">
              <w:rPr>
                <w:rFonts w:ascii="Source Sans Pro Regular" w:hAnsi="Source Sans Pro Regular"/>
                <w:color w:val="898D8D"/>
                <w:sz w:val="20"/>
                <w:szCs w:val="20"/>
              </w:rPr>
              <w:t>que representa un aumento del 7</w:t>
            </w:r>
            <w:r w:rsidR="00555B76">
              <w:rPr>
                <w:rFonts w:ascii="Source Sans Pro Regular" w:hAnsi="Source Sans Pro Regular"/>
                <w:color w:val="898D8D"/>
                <w:sz w:val="20"/>
                <w:szCs w:val="20"/>
              </w:rPr>
              <w:t>8</w:t>
            </w:r>
            <w:r w:rsidRPr="002C0FBF">
              <w:rPr>
                <w:rFonts w:ascii="Source Sans Pro Regular" w:hAnsi="Source Sans Pro Regular"/>
                <w:color w:val="898D8D"/>
                <w:sz w:val="20"/>
                <w:szCs w:val="20"/>
              </w:rPr>
              <w:t>%.</w:t>
            </w:r>
          </w:p>
        </w:tc>
        <w:tc>
          <w:tcPr>
            <w:tcW w:w="3117" w:type="dxa"/>
          </w:tcPr>
          <w:p w14:paraId="6FBCAF5D" w14:textId="77777777" w:rsidR="00F82798" w:rsidRPr="002C0FBF" w:rsidRDefault="00F82798">
            <w:pPr>
              <w:pStyle w:val="Normal1"/>
              <w:rPr>
                <w:rFonts w:ascii="Source Sans Pro Regular" w:hAnsi="Source Sans Pro Regular"/>
                <w:color w:val="898D8D"/>
                <w:sz w:val="20"/>
                <w:szCs w:val="20"/>
              </w:rPr>
            </w:pPr>
          </w:p>
        </w:tc>
      </w:tr>
      <w:tr w:rsidR="00F82798" w:rsidRPr="002C0FBF" w14:paraId="194A73A4" w14:textId="77777777" w:rsidTr="004D43EE">
        <w:tc>
          <w:tcPr>
            <w:tcW w:w="2174" w:type="dxa"/>
          </w:tcPr>
          <w:p w14:paraId="0AC2CD33" w14:textId="77777777" w:rsidR="00F82798" w:rsidRPr="007B43DA" w:rsidRDefault="000A63FB">
            <w:pPr>
              <w:pStyle w:val="Normal1"/>
              <w:rPr>
                <w:rFonts w:ascii="Source Sans Pro Regular" w:hAnsi="Source Sans Pro Regular"/>
                <w:b/>
                <w:color w:val="898D8D"/>
                <w:sz w:val="20"/>
                <w:szCs w:val="20"/>
              </w:rPr>
            </w:pPr>
            <w:r w:rsidRPr="007B43DA">
              <w:rPr>
                <w:rFonts w:ascii="Source Sans Pro Regular" w:hAnsi="Source Sans Pro Regular"/>
                <w:b/>
                <w:color w:val="898D8D"/>
                <w:sz w:val="20"/>
                <w:szCs w:val="20"/>
              </w:rPr>
              <w:t>Cifra negra</w:t>
            </w:r>
          </w:p>
          <w:p w14:paraId="6E46C649" w14:textId="77777777" w:rsidR="00F82798" w:rsidRPr="002C0FBF" w:rsidRDefault="00F82798">
            <w:pPr>
              <w:pStyle w:val="Normal1"/>
              <w:rPr>
                <w:rFonts w:ascii="Source Sans Pro Regular" w:hAnsi="Source Sans Pro Regular"/>
                <w:color w:val="898D8D"/>
                <w:sz w:val="20"/>
                <w:szCs w:val="20"/>
              </w:rPr>
            </w:pPr>
          </w:p>
          <w:p w14:paraId="2C31D788"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(cuadro 7.1)</w:t>
            </w:r>
          </w:p>
        </w:tc>
        <w:tc>
          <w:tcPr>
            <w:tcW w:w="4821" w:type="dxa"/>
          </w:tcPr>
          <w:p w14:paraId="76D0EB77" w14:textId="0A1C56CE" w:rsidR="00F82798" w:rsidRDefault="000A63FB" w:rsidP="00C220DC">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Entre 2013 y 2017 el porcentaje de cifra negra </w:t>
            </w:r>
            <w:r w:rsidR="00C220DC">
              <w:rPr>
                <w:rFonts w:ascii="Source Sans Pro Regular" w:hAnsi="Source Sans Pro Regular"/>
                <w:color w:val="898D8D"/>
                <w:sz w:val="20"/>
                <w:szCs w:val="20"/>
              </w:rPr>
              <w:t xml:space="preserve">de la Ciudad </w:t>
            </w:r>
            <w:r w:rsidRPr="002C0FBF">
              <w:rPr>
                <w:rFonts w:ascii="Source Sans Pro Regular" w:hAnsi="Source Sans Pro Regular"/>
                <w:color w:val="898D8D"/>
                <w:sz w:val="20"/>
                <w:szCs w:val="20"/>
              </w:rPr>
              <w:t xml:space="preserve">se ha mantenido en torno al 93%, lo que significa que 93 de cada 100 delitos no son denunciados (ENVIPE, 2018). </w:t>
            </w:r>
          </w:p>
          <w:p w14:paraId="0F263D5F" w14:textId="4589864D" w:rsidR="00C220DC" w:rsidRPr="002C0FBF" w:rsidRDefault="00CB6EC1" w:rsidP="00CB6EC1">
            <w:pPr>
              <w:pStyle w:val="Normal1"/>
              <w:rPr>
                <w:rFonts w:ascii="Source Sans Pro Regular" w:hAnsi="Source Sans Pro Regular"/>
                <w:color w:val="898D8D"/>
                <w:sz w:val="20"/>
                <w:szCs w:val="20"/>
              </w:rPr>
            </w:pPr>
            <w:r w:rsidRPr="00CB6EC1">
              <w:rPr>
                <w:rFonts w:ascii="Source Sans Pro Regular" w:hAnsi="Source Sans Pro Regular"/>
                <w:i/>
                <w:color w:val="898D8D"/>
                <w:sz w:val="20"/>
                <w:szCs w:val="20"/>
              </w:rPr>
              <w:t>La cifra negra se define como la razón de los delitos no denunciados, más los delitos denunciados sin averiguación previa o carpeta de investigación</w:t>
            </w:r>
            <w:r>
              <w:rPr>
                <w:rFonts w:ascii="Source Sans Pro Regular" w:hAnsi="Source Sans Pro Regular"/>
                <w:i/>
                <w:color w:val="898D8D"/>
                <w:sz w:val="20"/>
                <w:szCs w:val="20"/>
              </w:rPr>
              <w:t>,</w:t>
            </w:r>
            <w:r w:rsidRPr="00CB6EC1">
              <w:rPr>
                <w:rFonts w:ascii="Source Sans Pro Regular" w:hAnsi="Source Sans Pro Regular"/>
                <w:i/>
                <w:color w:val="898D8D"/>
                <w:sz w:val="20"/>
                <w:szCs w:val="20"/>
              </w:rPr>
              <w:t xml:space="preserve"> más aquéllos en los cuales no fue especificado si se denunció o si se inició averiguación previa o carpeta de investigación, entre el total de delitos</w:t>
            </w:r>
            <w:r>
              <w:rPr>
                <w:rFonts w:ascii="Source Sans Pro Regular" w:hAnsi="Source Sans Pro Regular"/>
                <w:i/>
                <w:color w:val="898D8D"/>
                <w:sz w:val="20"/>
                <w:szCs w:val="20"/>
              </w:rPr>
              <w:t>,</w:t>
            </w:r>
            <w:r w:rsidRPr="00CB6EC1">
              <w:rPr>
                <w:rFonts w:ascii="Source Sans Pro Regular" w:hAnsi="Source Sans Pro Regular"/>
                <w:i/>
                <w:color w:val="898D8D"/>
                <w:sz w:val="20"/>
                <w:szCs w:val="20"/>
              </w:rPr>
              <w:t xml:space="preserve"> por </w:t>
            </w:r>
            <w:r>
              <w:rPr>
                <w:rFonts w:ascii="Source Sans Pro Regular" w:hAnsi="Source Sans Pro Regular"/>
                <w:i/>
                <w:color w:val="898D8D"/>
                <w:sz w:val="20"/>
                <w:szCs w:val="20"/>
              </w:rPr>
              <w:t>100.</w:t>
            </w:r>
          </w:p>
        </w:tc>
        <w:tc>
          <w:tcPr>
            <w:tcW w:w="3117" w:type="dxa"/>
          </w:tcPr>
          <w:p w14:paraId="490D2B7F" w14:textId="77777777" w:rsidR="00F82798" w:rsidRPr="002C0FBF" w:rsidRDefault="00F82798">
            <w:pPr>
              <w:pStyle w:val="Normal1"/>
              <w:rPr>
                <w:rFonts w:ascii="Source Sans Pro Regular" w:hAnsi="Source Sans Pro Regular"/>
                <w:color w:val="898D8D"/>
                <w:sz w:val="20"/>
                <w:szCs w:val="20"/>
              </w:rPr>
            </w:pPr>
          </w:p>
        </w:tc>
      </w:tr>
      <w:tr w:rsidR="00F82798" w:rsidRPr="002C0FBF" w14:paraId="7D5B9C47" w14:textId="77777777" w:rsidTr="004D43EE">
        <w:tc>
          <w:tcPr>
            <w:tcW w:w="2174" w:type="dxa"/>
          </w:tcPr>
          <w:p w14:paraId="58431F83" w14:textId="77777777" w:rsidR="00F82798" w:rsidRPr="007B43DA" w:rsidRDefault="000A63FB">
            <w:pPr>
              <w:pStyle w:val="Normal1"/>
              <w:rPr>
                <w:rFonts w:ascii="Source Sans Pro Regular" w:hAnsi="Source Sans Pro Regular"/>
                <w:b/>
                <w:color w:val="898D8D"/>
                <w:sz w:val="20"/>
                <w:szCs w:val="20"/>
              </w:rPr>
            </w:pPr>
            <w:r w:rsidRPr="007B43DA">
              <w:rPr>
                <w:rFonts w:ascii="Source Sans Pro Regular" w:hAnsi="Source Sans Pro Regular"/>
                <w:b/>
                <w:color w:val="898D8D"/>
                <w:sz w:val="20"/>
                <w:szCs w:val="20"/>
              </w:rPr>
              <w:t>Víctimas de delito</w:t>
            </w:r>
          </w:p>
          <w:p w14:paraId="221CC2A1" w14:textId="77777777" w:rsidR="00F82798" w:rsidRPr="002C0FBF" w:rsidRDefault="00F82798">
            <w:pPr>
              <w:pStyle w:val="Normal1"/>
              <w:rPr>
                <w:rFonts w:ascii="Source Sans Pro Regular" w:hAnsi="Source Sans Pro Regular"/>
                <w:color w:val="898D8D"/>
                <w:sz w:val="20"/>
                <w:szCs w:val="20"/>
              </w:rPr>
            </w:pPr>
          </w:p>
          <w:p w14:paraId="44634C64"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(cuadro 2, gráfica 7.4)</w:t>
            </w:r>
          </w:p>
        </w:tc>
        <w:tc>
          <w:tcPr>
            <w:tcW w:w="4821" w:type="dxa"/>
          </w:tcPr>
          <w:p w14:paraId="044E36B3" w14:textId="77777777" w:rsidR="00162F41" w:rsidRDefault="000A63FB" w:rsidP="00162F41">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 2017, en 53 de cada 100 hogares de la Ciudad hubo al menos una persona v</w:t>
            </w:r>
            <w:r w:rsidR="00162F41">
              <w:rPr>
                <w:rFonts w:ascii="Source Sans Pro Regular" w:hAnsi="Source Sans Pro Regular"/>
                <w:color w:val="898D8D"/>
                <w:sz w:val="20"/>
                <w:szCs w:val="20"/>
              </w:rPr>
              <w:t>íctima de delito (ENVIPE, 2018).</w:t>
            </w:r>
          </w:p>
          <w:p w14:paraId="40F3AB9A" w14:textId="6A03B55B" w:rsidR="00F82798" w:rsidRDefault="000A63FB" w:rsidP="002219F6">
            <w:pPr>
              <w:pStyle w:val="Normal1"/>
              <w:numPr>
                <w:ilvl w:val="0"/>
                <w:numId w:val="9"/>
              </w:numPr>
              <w:spacing w:after="60"/>
              <w:ind w:left="414" w:hanging="414"/>
              <w:rPr>
                <w:rFonts w:ascii="Source Sans Pro Regular" w:hAnsi="Source Sans Pro Regular"/>
                <w:color w:val="898D8D"/>
                <w:sz w:val="20"/>
                <w:szCs w:val="20"/>
              </w:rPr>
            </w:pPr>
            <w:r w:rsidRPr="00162F41">
              <w:rPr>
                <w:rFonts w:ascii="Source Sans Pro Regular" w:hAnsi="Source Sans Pro Regular"/>
                <w:color w:val="898D8D"/>
                <w:sz w:val="20"/>
                <w:szCs w:val="20"/>
              </w:rPr>
              <w:t xml:space="preserve">Entre 2010 y 2017 se incrementó el número de hogares de la Ciudad con víctimas de delitos en un 12.6%, </w:t>
            </w:r>
            <w:r w:rsidR="00162F41">
              <w:rPr>
                <w:rFonts w:ascii="Source Sans Pro Regular" w:hAnsi="Source Sans Pro Regular"/>
                <w:color w:val="898D8D"/>
                <w:sz w:val="20"/>
                <w:szCs w:val="20"/>
              </w:rPr>
              <w:t xml:space="preserve">al pasar </w:t>
            </w:r>
            <w:r w:rsidRPr="00162F41">
              <w:rPr>
                <w:rFonts w:ascii="Source Sans Pro Regular" w:hAnsi="Source Sans Pro Regular"/>
                <w:color w:val="898D8D"/>
                <w:sz w:val="20"/>
                <w:szCs w:val="20"/>
              </w:rPr>
              <w:t>de 1.3 a 1.5 mil</w:t>
            </w:r>
            <w:r w:rsidR="002219F6">
              <w:rPr>
                <w:rFonts w:ascii="Source Sans Pro Regular" w:hAnsi="Source Sans Pro Regular"/>
                <w:color w:val="898D8D"/>
                <w:sz w:val="20"/>
                <w:szCs w:val="20"/>
              </w:rPr>
              <w:t>lones de hogares (ENVIPE, 2018).</w:t>
            </w:r>
          </w:p>
          <w:p w14:paraId="5F0B09A3" w14:textId="4499EF44" w:rsidR="00F82798" w:rsidRPr="002C0FBF" w:rsidRDefault="002219F6" w:rsidP="002219F6">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Entre 2010 y 2017, e</w:t>
            </w:r>
            <w:r w:rsidR="000A63FB" w:rsidRPr="002C0FBF">
              <w:rPr>
                <w:rFonts w:ascii="Source Sans Pro Regular" w:hAnsi="Source Sans Pro Regular"/>
                <w:color w:val="898D8D"/>
                <w:sz w:val="20"/>
                <w:szCs w:val="20"/>
              </w:rPr>
              <w:t>l número de personas víctimas pasó de 2.1 millones a casi 3 millones, crecimiento equivalente a 38.4% (ENVIPE, 2018)</w:t>
            </w:r>
            <w:r w:rsidR="00ED1C09">
              <w:rPr>
                <w:rFonts w:ascii="Source Sans Pro Regular" w:hAnsi="Source Sans Pro Regular"/>
                <w:color w:val="898D8D"/>
                <w:sz w:val="20"/>
                <w:szCs w:val="20"/>
              </w:rPr>
              <w:t>.</w:t>
            </w:r>
          </w:p>
        </w:tc>
        <w:tc>
          <w:tcPr>
            <w:tcW w:w="3117" w:type="dxa"/>
          </w:tcPr>
          <w:p w14:paraId="457D9220" w14:textId="77777777" w:rsidR="00F82798" w:rsidRPr="002C0FBF" w:rsidRDefault="00F82798">
            <w:pPr>
              <w:pStyle w:val="Normal1"/>
              <w:rPr>
                <w:rFonts w:ascii="Source Sans Pro Regular" w:hAnsi="Source Sans Pro Regular"/>
                <w:color w:val="898D8D"/>
                <w:sz w:val="20"/>
                <w:szCs w:val="20"/>
              </w:rPr>
            </w:pPr>
          </w:p>
        </w:tc>
      </w:tr>
      <w:tr w:rsidR="00F82798" w:rsidRPr="002C0FBF" w14:paraId="23633A55" w14:textId="77777777" w:rsidTr="004D43EE">
        <w:tc>
          <w:tcPr>
            <w:tcW w:w="2174" w:type="dxa"/>
          </w:tcPr>
          <w:p w14:paraId="3E875B03" w14:textId="74C94FB4" w:rsidR="00F82798" w:rsidRPr="007B43DA" w:rsidRDefault="000A63FB">
            <w:pPr>
              <w:pStyle w:val="Normal1"/>
              <w:rPr>
                <w:rFonts w:ascii="Source Sans Pro Regular" w:hAnsi="Source Sans Pro Regular"/>
                <w:b/>
                <w:color w:val="898D8D"/>
                <w:sz w:val="20"/>
                <w:szCs w:val="20"/>
              </w:rPr>
            </w:pPr>
            <w:r w:rsidRPr="007B43DA">
              <w:rPr>
                <w:rFonts w:ascii="Source Sans Pro Regular" w:hAnsi="Source Sans Pro Regular"/>
                <w:b/>
                <w:color w:val="898D8D"/>
                <w:sz w:val="20"/>
                <w:szCs w:val="20"/>
              </w:rPr>
              <w:t xml:space="preserve">Tasa de prevalencia delictiva  </w:t>
            </w:r>
          </w:p>
          <w:p w14:paraId="69BB4872" w14:textId="77777777" w:rsidR="00F82798" w:rsidRPr="002C0FBF" w:rsidRDefault="00F82798">
            <w:pPr>
              <w:pStyle w:val="Normal1"/>
              <w:rPr>
                <w:rFonts w:ascii="Source Sans Pro Regular" w:hAnsi="Source Sans Pro Regular"/>
                <w:color w:val="898D8D"/>
                <w:sz w:val="20"/>
                <w:szCs w:val="20"/>
              </w:rPr>
            </w:pPr>
          </w:p>
          <w:p w14:paraId="50D72CC2"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(gráfica 7.6, figura 7.1)</w:t>
            </w:r>
          </w:p>
        </w:tc>
        <w:tc>
          <w:tcPr>
            <w:tcW w:w="4821" w:type="dxa"/>
          </w:tcPr>
          <w:p w14:paraId="69DCE52B" w14:textId="3AD3F7CC" w:rsidR="00F82798" w:rsidRPr="002C0FBF" w:rsidRDefault="000A63FB" w:rsidP="00054955">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Entre 2010 y 2017, en la capital del país incrementó la tasa de prevalencia delictiva (número de personas víctimas de delitos por cada 100,000 habitantes</w:t>
            </w:r>
            <w:r w:rsidR="00574CC4">
              <w:rPr>
                <w:rFonts w:ascii="Source Sans Pro Regular" w:hAnsi="Source Sans Pro Regular"/>
                <w:color w:val="898D8D"/>
                <w:sz w:val="20"/>
                <w:szCs w:val="20"/>
              </w:rPr>
              <w:t xml:space="preserve"> adultos</w:t>
            </w:r>
            <w:r w:rsidRPr="002C0FBF">
              <w:rPr>
                <w:rFonts w:ascii="Source Sans Pro Regular" w:hAnsi="Source Sans Pro Regular"/>
                <w:color w:val="898D8D"/>
                <w:sz w:val="20"/>
                <w:szCs w:val="20"/>
              </w:rPr>
              <w:t>), pues pasó de 32,340 víctimas de delito por cada 100,000 habitantes a 43,069, lo que representa un incremento del 3</w:t>
            </w:r>
            <w:r w:rsidR="00054955">
              <w:rPr>
                <w:rFonts w:ascii="Source Sans Pro Regular" w:hAnsi="Source Sans Pro Regular"/>
                <w:color w:val="898D8D"/>
                <w:sz w:val="20"/>
                <w:szCs w:val="20"/>
              </w:rPr>
              <w:t>3.</w:t>
            </w:r>
            <w:r w:rsidRPr="002C0FBF">
              <w:rPr>
                <w:rFonts w:ascii="Source Sans Pro Regular" w:hAnsi="Source Sans Pro Regular"/>
                <w:color w:val="898D8D"/>
                <w:sz w:val="20"/>
                <w:szCs w:val="20"/>
              </w:rPr>
              <w:t>2% (ENVIPE, 2011-2018).</w:t>
            </w:r>
          </w:p>
          <w:p w14:paraId="5DAC6210" w14:textId="4398A91F" w:rsidR="00F82798" w:rsidRPr="006E3BE7" w:rsidRDefault="000A63FB" w:rsidP="002F7535">
            <w:pPr>
              <w:pStyle w:val="Normal1"/>
              <w:numPr>
                <w:ilvl w:val="0"/>
                <w:numId w:val="9"/>
              </w:numPr>
              <w:spacing w:after="60"/>
              <w:ind w:left="414" w:hanging="414"/>
              <w:rPr>
                <w:rFonts w:ascii="Source Sans Pro Regular" w:hAnsi="Source Sans Pro Regular"/>
                <w:color w:val="898D8D"/>
                <w:sz w:val="20"/>
                <w:szCs w:val="20"/>
              </w:rPr>
            </w:pPr>
            <w:r w:rsidRPr="006E3BE7">
              <w:rPr>
                <w:rFonts w:ascii="Source Sans Pro Regular" w:hAnsi="Source Sans Pro Regular"/>
                <w:color w:val="898D8D"/>
                <w:sz w:val="20"/>
                <w:szCs w:val="20"/>
              </w:rPr>
              <w:t xml:space="preserve">En 2017, la región poniente de la Ciudad (Azcapotzalco, Cuauhtémoc, Miguel Hidalgo, Cuajimalpa y Álvaro Obregón) registra la tasa de prevalencia delictiva más elevada de la capital, con 47,394 delitos por cada 100,000 habitantes, por encima del promedio capitalino (43,069 delitos por cada 100,000 habitantes). </w:t>
            </w:r>
          </w:p>
        </w:tc>
        <w:tc>
          <w:tcPr>
            <w:tcW w:w="3117" w:type="dxa"/>
          </w:tcPr>
          <w:p w14:paraId="393AE4AB" w14:textId="77777777" w:rsidR="00F82798" w:rsidRPr="002C0FBF" w:rsidRDefault="00F82798">
            <w:pPr>
              <w:pStyle w:val="Normal1"/>
              <w:rPr>
                <w:rFonts w:ascii="Source Sans Pro Regular" w:hAnsi="Source Sans Pro Regular"/>
                <w:color w:val="898D8D"/>
                <w:sz w:val="20"/>
                <w:szCs w:val="20"/>
              </w:rPr>
            </w:pPr>
          </w:p>
        </w:tc>
      </w:tr>
      <w:tr w:rsidR="00F82798" w:rsidRPr="002C0FBF" w14:paraId="616EDCCD" w14:textId="77777777" w:rsidTr="004D43EE">
        <w:tc>
          <w:tcPr>
            <w:tcW w:w="2174" w:type="dxa"/>
          </w:tcPr>
          <w:p w14:paraId="30C189EC" w14:textId="77777777" w:rsidR="00F82798" w:rsidRPr="007B43DA" w:rsidRDefault="000A63FB">
            <w:pPr>
              <w:pStyle w:val="Normal1"/>
              <w:rPr>
                <w:rFonts w:ascii="Source Sans Pro Regular" w:hAnsi="Source Sans Pro Regular"/>
                <w:b/>
                <w:color w:val="898D8D"/>
                <w:sz w:val="20"/>
                <w:szCs w:val="20"/>
              </w:rPr>
            </w:pPr>
            <w:r w:rsidRPr="007B43DA">
              <w:rPr>
                <w:rFonts w:ascii="Source Sans Pro Regular" w:hAnsi="Source Sans Pro Regular"/>
                <w:b/>
                <w:color w:val="898D8D"/>
                <w:sz w:val="20"/>
                <w:szCs w:val="20"/>
              </w:rPr>
              <w:t>Tasa de prevalencia delictiva por sexo</w:t>
            </w:r>
          </w:p>
          <w:p w14:paraId="0BD501AC"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 </w:t>
            </w:r>
          </w:p>
          <w:p w14:paraId="05ADDC49"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Fuente: Diagnóstico </w:t>
            </w:r>
            <w:r w:rsidRPr="002C0FBF">
              <w:rPr>
                <w:rFonts w:ascii="Source Sans Pro Regular" w:hAnsi="Source Sans Pro Regular"/>
                <w:color w:val="898D8D"/>
                <w:sz w:val="20"/>
                <w:szCs w:val="20"/>
              </w:rPr>
              <w:lastRenderedPageBreak/>
              <w:t>(gráfica 7.6)</w:t>
            </w:r>
          </w:p>
        </w:tc>
        <w:tc>
          <w:tcPr>
            <w:tcW w:w="4821" w:type="dxa"/>
          </w:tcPr>
          <w:p w14:paraId="79E883DB" w14:textId="2F33D95A" w:rsidR="00F82798" w:rsidRPr="002C0FBF" w:rsidRDefault="000A63FB" w:rsidP="004E570D">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lastRenderedPageBreak/>
              <w:t>Entre 2010 y 2017, el número de mujeres víctimas de delito por cada 100,000 mujeres residentes en la Ciudad creció 40%</w:t>
            </w:r>
            <w:r w:rsidR="004E570D">
              <w:rPr>
                <w:rFonts w:ascii="Source Sans Pro Regular" w:hAnsi="Source Sans Pro Regular"/>
                <w:color w:val="898D8D"/>
                <w:sz w:val="20"/>
                <w:szCs w:val="20"/>
              </w:rPr>
              <w:t xml:space="preserve">, al pasar </w:t>
            </w:r>
            <w:r w:rsidRPr="002C0FBF">
              <w:rPr>
                <w:rFonts w:ascii="Source Sans Pro Regular" w:hAnsi="Source Sans Pro Regular"/>
                <w:color w:val="898D8D"/>
                <w:sz w:val="20"/>
                <w:szCs w:val="20"/>
              </w:rPr>
              <w:t>de 28,795 a 40,301</w:t>
            </w:r>
            <w:r w:rsidR="004E570D">
              <w:rPr>
                <w:rFonts w:ascii="Source Sans Pro Regular" w:hAnsi="Source Sans Pro Regular"/>
                <w:color w:val="898D8D"/>
                <w:sz w:val="20"/>
                <w:szCs w:val="20"/>
              </w:rPr>
              <w:t xml:space="preserve">. Esta variación es muy superior a la de la tasa </w:t>
            </w:r>
            <w:r w:rsidR="004E570D">
              <w:rPr>
                <w:rFonts w:ascii="Source Sans Pro Regular" w:hAnsi="Source Sans Pro Regular"/>
                <w:color w:val="898D8D"/>
                <w:sz w:val="20"/>
                <w:szCs w:val="20"/>
              </w:rPr>
              <w:lastRenderedPageBreak/>
              <w:t xml:space="preserve">masculina, </w:t>
            </w:r>
            <w:r w:rsidRPr="002C0FBF">
              <w:rPr>
                <w:rFonts w:ascii="Source Sans Pro Regular" w:hAnsi="Source Sans Pro Regular"/>
                <w:color w:val="898D8D"/>
                <w:sz w:val="20"/>
                <w:szCs w:val="20"/>
              </w:rPr>
              <w:t>que aumentó 27.6% en ese mismo lapso (pasó de 36,308 a 4</w:t>
            </w:r>
            <w:r w:rsidR="004E570D">
              <w:rPr>
                <w:rFonts w:ascii="Source Sans Pro Regular" w:hAnsi="Source Sans Pro Regular"/>
                <w:color w:val="898D8D"/>
                <w:sz w:val="20"/>
                <w:szCs w:val="20"/>
              </w:rPr>
              <w:t>6</w:t>
            </w:r>
            <w:r w:rsidRPr="002C0FBF">
              <w:rPr>
                <w:rFonts w:ascii="Source Sans Pro Regular" w:hAnsi="Source Sans Pro Regular"/>
                <w:color w:val="898D8D"/>
                <w:sz w:val="20"/>
                <w:szCs w:val="20"/>
              </w:rPr>
              <w:t>,</w:t>
            </w:r>
            <w:r w:rsidR="004E570D">
              <w:rPr>
                <w:rFonts w:ascii="Source Sans Pro Regular" w:hAnsi="Source Sans Pro Regular"/>
                <w:color w:val="898D8D"/>
                <w:sz w:val="20"/>
                <w:szCs w:val="20"/>
              </w:rPr>
              <w:t>343</w:t>
            </w:r>
            <w:r w:rsidRPr="002C0FBF">
              <w:rPr>
                <w:rFonts w:ascii="Source Sans Pro Regular" w:hAnsi="Source Sans Pro Regular"/>
                <w:color w:val="898D8D"/>
                <w:sz w:val="20"/>
                <w:szCs w:val="20"/>
              </w:rPr>
              <w:t>) (ENVIPE, 2011 a 2018).</w:t>
            </w:r>
          </w:p>
        </w:tc>
        <w:tc>
          <w:tcPr>
            <w:tcW w:w="3117" w:type="dxa"/>
          </w:tcPr>
          <w:p w14:paraId="68175042" w14:textId="77777777" w:rsidR="00F82798" w:rsidRPr="002C0FBF" w:rsidRDefault="00F82798">
            <w:pPr>
              <w:pStyle w:val="Normal1"/>
              <w:rPr>
                <w:rFonts w:ascii="Source Sans Pro Regular" w:hAnsi="Source Sans Pro Regular"/>
                <w:color w:val="898D8D"/>
                <w:sz w:val="20"/>
                <w:szCs w:val="20"/>
              </w:rPr>
            </w:pPr>
          </w:p>
        </w:tc>
      </w:tr>
      <w:tr w:rsidR="00F82798" w:rsidRPr="002C0FBF" w14:paraId="6E3A79E3" w14:textId="77777777" w:rsidTr="004D43EE">
        <w:tc>
          <w:tcPr>
            <w:tcW w:w="2174" w:type="dxa"/>
          </w:tcPr>
          <w:p w14:paraId="751982BB" w14:textId="77777777" w:rsidR="00F82798" w:rsidRPr="007B43DA" w:rsidRDefault="000A63FB">
            <w:pPr>
              <w:pStyle w:val="Normal1"/>
              <w:rPr>
                <w:rFonts w:ascii="Source Sans Pro Regular" w:hAnsi="Source Sans Pro Regular"/>
                <w:b/>
                <w:color w:val="898D8D"/>
                <w:sz w:val="20"/>
                <w:szCs w:val="20"/>
              </w:rPr>
            </w:pPr>
            <w:r w:rsidRPr="007B43DA">
              <w:rPr>
                <w:rFonts w:ascii="Source Sans Pro Regular" w:hAnsi="Source Sans Pro Regular"/>
                <w:b/>
                <w:color w:val="898D8D"/>
                <w:sz w:val="20"/>
                <w:szCs w:val="20"/>
              </w:rPr>
              <w:t>Carpetas de investigación</w:t>
            </w:r>
          </w:p>
          <w:p w14:paraId="6EB92D1A" w14:textId="77777777" w:rsidR="00F82798" w:rsidRPr="002C0FBF" w:rsidRDefault="00F82798">
            <w:pPr>
              <w:pStyle w:val="Normal1"/>
              <w:rPr>
                <w:rFonts w:ascii="Source Sans Pro Regular" w:hAnsi="Source Sans Pro Regular"/>
                <w:color w:val="898D8D"/>
                <w:sz w:val="20"/>
                <w:szCs w:val="20"/>
              </w:rPr>
            </w:pPr>
          </w:p>
          <w:p w14:paraId="5104314F"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(gráfica 7.7, página 330)</w:t>
            </w:r>
          </w:p>
        </w:tc>
        <w:tc>
          <w:tcPr>
            <w:tcW w:w="4821" w:type="dxa"/>
          </w:tcPr>
          <w:p w14:paraId="28E48F13" w14:textId="02DA9ABB" w:rsidR="00F82798" w:rsidRPr="002C0FBF" w:rsidRDefault="000A63FB" w:rsidP="00121046">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Las alcaldías que registran mayor número de carpetas de investigación abiertas en 2019</w:t>
            </w:r>
            <w:r w:rsidR="007B537D">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por hechos ocurridos en 2019</w:t>
            </w:r>
            <w:r w:rsidR="007B537D">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son:</w:t>
            </w:r>
          </w:p>
          <w:p w14:paraId="63518A8A" w14:textId="0A28CE64" w:rsidR="00F82798" w:rsidRPr="002C0FBF" w:rsidRDefault="007B43DA" w:rsidP="00CE06DA">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Iztapalapa</w:t>
            </w:r>
            <w:r w:rsidR="000A63FB" w:rsidRPr="002C0FBF">
              <w:rPr>
                <w:rFonts w:ascii="Source Sans Pro Regular" w:hAnsi="Source Sans Pro Regular"/>
                <w:color w:val="898D8D"/>
                <w:sz w:val="20"/>
                <w:szCs w:val="20"/>
              </w:rPr>
              <w:t>: 38,185</w:t>
            </w:r>
          </w:p>
          <w:p w14:paraId="4A3CCAA4" w14:textId="5F0BADB6" w:rsidR="00F82798" w:rsidRPr="002C0FBF" w:rsidRDefault="007B43DA" w:rsidP="00CE06DA">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Cuauhtémoc</w:t>
            </w:r>
            <w:r w:rsidR="000A63FB" w:rsidRPr="002C0FBF">
              <w:rPr>
                <w:rFonts w:ascii="Source Sans Pro Regular" w:hAnsi="Source Sans Pro Regular"/>
                <w:color w:val="898D8D"/>
                <w:sz w:val="20"/>
                <w:szCs w:val="20"/>
              </w:rPr>
              <w:t>: 37,045</w:t>
            </w:r>
          </w:p>
          <w:p w14:paraId="1936CEBF" w14:textId="77777777" w:rsidR="00F82798" w:rsidRPr="002C0FBF" w:rsidRDefault="000A63FB" w:rsidP="00CE06DA">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Gustavo A. Madero: 24,229</w:t>
            </w:r>
          </w:p>
          <w:p w14:paraId="66A62EB4" w14:textId="77777777" w:rsidR="00F82798" w:rsidRPr="002C0FBF" w:rsidRDefault="000A63FB" w:rsidP="00CE06DA">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Benito Juárez: 20,595</w:t>
            </w:r>
          </w:p>
          <w:p w14:paraId="105AADDF" w14:textId="77777777" w:rsidR="00F82798" w:rsidRPr="002C0FBF" w:rsidRDefault="000A63FB" w:rsidP="00CE06DA">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Álvaro Obregón: 17,983</w:t>
            </w:r>
          </w:p>
          <w:p w14:paraId="01CD0EDF" w14:textId="77777777" w:rsidR="00F82798" w:rsidRPr="002C0FBF" w:rsidRDefault="000A63FB" w:rsidP="00CE06DA">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Miguel Hidalgo: 16,227</w:t>
            </w:r>
          </w:p>
          <w:p w14:paraId="32C01FBC" w14:textId="77777777" w:rsidR="00F82798" w:rsidRPr="002C0FBF" w:rsidRDefault="000A63FB" w:rsidP="00CE06DA">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Coyoacán: 15,722</w:t>
            </w:r>
          </w:p>
          <w:p w14:paraId="0F8E34E9" w14:textId="77777777" w:rsidR="00F82798" w:rsidRPr="002C0FBF" w:rsidRDefault="000A63FB" w:rsidP="00CE06DA">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Tlalpan: 14,524</w:t>
            </w:r>
          </w:p>
          <w:p w14:paraId="5D908F4E" w14:textId="77777777" w:rsidR="00F82798" w:rsidRPr="002C0FBF" w:rsidRDefault="000A63FB" w:rsidP="00CE06DA">
            <w:pPr>
              <w:pStyle w:val="Normal1"/>
              <w:numPr>
                <w:ilvl w:val="0"/>
                <w:numId w:val="8"/>
              </w:numPr>
              <w:spacing w:after="60"/>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Venustiano Carranza: 14 ,418</w:t>
            </w:r>
          </w:p>
          <w:p w14:paraId="7CE566F8" w14:textId="6E987B9A" w:rsidR="00F82798" w:rsidRPr="002C0FBF" w:rsidRDefault="000A63FB" w:rsidP="001D300B">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Entre 2015 y 2019</w:t>
            </w:r>
            <w:r w:rsidR="001D300B">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las alcaldías que han registrado mayor incremento en el número de carpetas de investigación son:</w:t>
            </w:r>
          </w:p>
          <w:p w14:paraId="07AC21E5" w14:textId="77777777" w:rsidR="00F82798" w:rsidRPr="002C0FBF" w:rsidRDefault="000A63FB" w:rsidP="001D300B">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La Magdalena Contreras: 72%</w:t>
            </w:r>
          </w:p>
          <w:p w14:paraId="719D13F2" w14:textId="77777777" w:rsidR="00F82798" w:rsidRPr="002C0FBF" w:rsidRDefault="000A63FB" w:rsidP="001D300B">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Álvaro Obregón: 68%</w:t>
            </w:r>
          </w:p>
          <w:p w14:paraId="32132F3D" w14:textId="77777777" w:rsidR="00F82798" w:rsidRPr="002C0FBF" w:rsidRDefault="000A63FB" w:rsidP="001D300B">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Tláhuac: 67%</w:t>
            </w:r>
          </w:p>
          <w:p w14:paraId="2508089C" w14:textId="77777777" w:rsidR="00F82798" w:rsidRPr="002C0FBF" w:rsidRDefault="000A63FB" w:rsidP="001D300B">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Benito Juárez: 60%</w:t>
            </w:r>
          </w:p>
          <w:p w14:paraId="403F0D28" w14:textId="2ED3425C" w:rsidR="00F82798" w:rsidRPr="002C0FBF" w:rsidRDefault="000A63FB" w:rsidP="001D300B">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Venustiano Carranza: 57%</w:t>
            </w:r>
          </w:p>
        </w:tc>
        <w:tc>
          <w:tcPr>
            <w:tcW w:w="3117" w:type="dxa"/>
          </w:tcPr>
          <w:p w14:paraId="4DE8921E" w14:textId="77777777" w:rsidR="00F82798" w:rsidRPr="002C0FBF" w:rsidRDefault="00F82798">
            <w:pPr>
              <w:pStyle w:val="Normal1"/>
              <w:rPr>
                <w:rFonts w:ascii="Source Sans Pro Regular" w:hAnsi="Source Sans Pro Regular"/>
                <w:color w:val="898D8D"/>
                <w:sz w:val="20"/>
                <w:szCs w:val="20"/>
              </w:rPr>
            </w:pPr>
          </w:p>
        </w:tc>
      </w:tr>
      <w:tr w:rsidR="00F82798" w:rsidRPr="002C0FBF" w14:paraId="048318AD" w14:textId="77777777" w:rsidTr="004D43EE">
        <w:tc>
          <w:tcPr>
            <w:tcW w:w="2174" w:type="dxa"/>
          </w:tcPr>
          <w:p w14:paraId="5462F65F" w14:textId="77777777" w:rsidR="00F82798" w:rsidRPr="00A36AEE" w:rsidRDefault="000A63FB">
            <w:pPr>
              <w:pStyle w:val="Normal1"/>
              <w:rPr>
                <w:rFonts w:ascii="Source Sans Pro Regular" w:hAnsi="Source Sans Pro Regular"/>
                <w:b/>
                <w:color w:val="898D8D"/>
                <w:sz w:val="20"/>
                <w:szCs w:val="20"/>
              </w:rPr>
            </w:pPr>
            <w:r w:rsidRPr="00A36AEE">
              <w:rPr>
                <w:rFonts w:ascii="Source Sans Pro Regular" w:hAnsi="Source Sans Pro Regular"/>
                <w:b/>
                <w:color w:val="898D8D"/>
                <w:sz w:val="20"/>
                <w:szCs w:val="20"/>
              </w:rPr>
              <w:t>Delitos más recurrentes en 2019</w:t>
            </w:r>
          </w:p>
          <w:p w14:paraId="73926C8E" w14:textId="77777777" w:rsidR="00F82798" w:rsidRPr="002C0FBF" w:rsidRDefault="00F82798">
            <w:pPr>
              <w:pStyle w:val="Normal1"/>
              <w:rPr>
                <w:rFonts w:ascii="Source Sans Pro Regular" w:hAnsi="Source Sans Pro Regular"/>
                <w:color w:val="898D8D"/>
                <w:sz w:val="20"/>
                <w:szCs w:val="20"/>
              </w:rPr>
            </w:pPr>
          </w:p>
          <w:p w14:paraId="535B7FD1"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(páginas 330-336, gráfica 7.8)</w:t>
            </w:r>
          </w:p>
        </w:tc>
        <w:tc>
          <w:tcPr>
            <w:tcW w:w="4821" w:type="dxa"/>
          </w:tcPr>
          <w:p w14:paraId="7843550E" w14:textId="77777777" w:rsidR="00F82798" w:rsidRPr="002C0FBF" w:rsidRDefault="000A63FB" w:rsidP="00D8428D">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 2019, la tasa promedio de homicidios dolosos en la Ciudad de México es de 16 por cada 100,000 habitantes. Esta cifra es más elevada en las siguientes alcaldías:</w:t>
            </w:r>
          </w:p>
          <w:p w14:paraId="4A22FC03" w14:textId="77777777" w:rsidR="00F82798" w:rsidRPr="002C0FBF" w:rsidRDefault="000A63FB" w:rsidP="005B2E6B">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Venustiano Carranza: 27</w:t>
            </w:r>
          </w:p>
          <w:p w14:paraId="3B2AD7BB" w14:textId="77777777" w:rsidR="00F82798" w:rsidRPr="002C0FBF" w:rsidRDefault="000A63FB" w:rsidP="005B2E6B">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Cuauhtémoc: 22 </w:t>
            </w:r>
          </w:p>
          <w:p w14:paraId="75A2F633" w14:textId="77777777" w:rsidR="00F82798" w:rsidRPr="002C0FBF" w:rsidRDefault="000A63FB" w:rsidP="00DE345A">
            <w:pPr>
              <w:pStyle w:val="Normal1"/>
              <w:numPr>
                <w:ilvl w:val="0"/>
                <w:numId w:val="8"/>
              </w:numPr>
              <w:spacing w:after="60"/>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Tláhuac: 20</w:t>
            </w:r>
          </w:p>
          <w:p w14:paraId="36E26515" w14:textId="77777777" w:rsidR="00F82798" w:rsidRPr="002C0FBF" w:rsidRDefault="000A63FB" w:rsidP="00DE345A">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La tasa promedio de delitos por robo en la Ciudad es de 1,227 por cada 100,000 habitantes. Las alcaldías con mayor frecuencia de estos delitos son:</w:t>
            </w:r>
          </w:p>
          <w:p w14:paraId="264C94F9" w14:textId="77777777" w:rsidR="00F82798" w:rsidRPr="002C0FBF" w:rsidRDefault="000A63FB" w:rsidP="007D1D26">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Cuauhtémoc: 2,999</w:t>
            </w:r>
          </w:p>
          <w:p w14:paraId="62FBCCBA" w14:textId="77777777" w:rsidR="00F82798" w:rsidRPr="002C0FBF" w:rsidRDefault="000A63FB" w:rsidP="007D1D26">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Benito Juárez: 2,545 </w:t>
            </w:r>
          </w:p>
          <w:p w14:paraId="70E9E537" w14:textId="77777777" w:rsidR="00F82798" w:rsidRPr="002C0FBF" w:rsidRDefault="000A63FB" w:rsidP="00AF3896">
            <w:pPr>
              <w:pStyle w:val="Normal1"/>
              <w:numPr>
                <w:ilvl w:val="0"/>
                <w:numId w:val="8"/>
              </w:numPr>
              <w:spacing w:after="60"/>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Miguel Hidalgo: 2,389</w:t>
            </w:r>
          </w:p>
          <w:p w14:paraId="381BC721" w14:textId="77777777" w:rsidR="00A327E1" w:rsidRDefault="000A63FB" w:rsidP="00AF3896">
            <w:pPr>
              <w:pStyle w:val="Normal1"/>
              <w:numPr>
                <w:ilvl w:val="0"/>
                <w:numId w:val="9"/>
              </w:numPr>
              <w:spacing w:after="60"/>
              <w:ind w:left="414" w:hanging="414"/>
              <w:rPr>
                <w:rFonts w:ascii="Source Sans Pro Regular" w:hAnsi="Source Sans Pro Regular"/>
                <w:color w:val="898D8D"/>
                <w:sz w:val="20"/>
                <w:szCs w:val="20"/>
              </w:rPr>
            </w:pPr>
            <w:r w:rsidRPr="003C5E5F">
              <w:rPr>
                <w:rFonts w:ascii="Source Sans Pro Regular" w:hAnsi="Source Sans Pro Regular"/>
                <w:color w:val="898D8D"/>
                <w:sz w:val="20"/>
                <w:szCs w:val="20"/>
              </w:rPr>
              <w:t xml:space="preserve">La tasa de delitos por abuso sexual y violación es </w:t>
            </w:r>
            <w:r w:rsidR="003C5E5F" w:rsidRPr="003C5E5F">
              <w:rPr>
                <w:rFonts w:ascii="Source Sans Pro Regular" w:hAnsi="Source Sans Pro Regular"/>
                <w:color w:val="898D8D"/>
                <w:sz w:val="20"/>
                <w:szCs w:val="20"/>
              </w:rPr>
              <w:t>de 62 casos por cada 100,000 habitantes.</w:t>
            </w:r>
          </w:p>
          <w:p w14:paraId="4FFFE9D0" w14:textId="77777777" w:rsidR="00607019" w:rsidRDefault="003C5E5F" w:rsidP="00A327E1">
            <w:pPr>
              <w:pStyle w:val="Normal1"/>
              <w:numPr>
                <w:ilvl w:val="0"/>
                <w:numId w:val="9"/>
              </w:numPr>
              <w:spacing w:after="60"/>
              <w:ind w:left="414" w:hanging="414"/>
              <w:rPr>
                <w:rFonts w:ascii="Source Sans Pro Regular" w:hAnsi="Source Sans Pro Regular"/>
                <w:color w:val="898D8D"/>
                <w:sz w:val="20"/>
                <w:szCs w:val="20"/>
              </w:rPr>
            </w:pPr>
            <w:r w:rsidRPr="003C5E5F">
              <w:rPr>
                <w:rFonts w:ascii="Source Sans Pro Regular" w:hAnsi="Source Sans Pro Regular"/>
                <w:color w:val="898D8D"/>
                <w:sz w:val="20"/>
                <w:szCs w:val="20"/>
              </w:rPr>
              <w:t xml:space="preserve">Sin embargo esta tasa es mucho más elevada en </w:t>
            </w:r>
            <w:r w:rsidR="000A63FB" w:rsidRPr="003C5E5F">
              <w:rPr>
                <w:rFonts w:ascii="Source Sans Pro Regular" w:hAnsi="Source Sans Pro Regular"/>
                <w:color w:val="898D8D"/>
                <w:sz w:val="20"/>
                <w:szCs w:val="20"/>
              </w:rPr>
              <w:t>Cuauhtémoc, con 159 eventos de este tipo por cada 100,000 personas residentes en la demarcación.</w:t>
            </w:r>
            <w:r w:rsidR="00A327E1">
              <w:rPr>
                <w:rFonts w:ascii="Source Sans Pro Regular" w:hAnsi="Source Sans Pro Regular"/>
                <w:color w:val="898D8D"/>
                <w:sz w:val="20"/>
                <w:szCs w:val="20"/>
              </w:rPr>
              <w:t xml:space="preserve"> Otras alcaldías que destacan por su elevado nivel en esta misma tasa son</w:t>
            </w:r>
            <w:r w:rsidR="00607019">
              <w:rPr>
                <w:rFonts w:ascii="Source Sans Pro Regular" w:hAnsi="Source Sans Pro Regular"/>
                <w:color w:val="898D8D"/>
                <w:sz w:val="20"/>
                <w:szCs w:val="20"/>
              </w:rPr>
              <w:t>:</w:t>
            </w:r>
          </w:p>
          <w:p w14:paraId="21A1C659" w14:textId="77777777" w:rsidR="00607019" w:rsidRDefault="000A63FB" w:rsidP="00607019">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Miguel Hidalgo </w:t>
            </w:r>
            <w:r w:rsidR="00A327E1">
              <w:rPr>
                <w:rFonts w:ascii="Source Sans Pro Regular" w:hAnsi="Source Sans Pro Regular"/>
                <w:color w:val="898D8D"/>
                <w:sz w:val="20"/>
                <w:szCs w:val="20"/>
              </w:rPr>
              <w:t>(</w:t>
            </w:r>
            <w:r w:rsidRPr="002C0FBF">
              <w:rPr>
                <w:rFonts w:ascii="Source Sans Pro Regular" w:hAnsi="Source Sans Pro Regular"/>
                <w:color w:val="898D8D"/>
                <w:sz w:val="20"/>
                <w:szCs w:val="20"/>
              </w:rPr>
              <w:t>94</w:t>
            </w:r>
            <w:r w:rsidR="00A327E1">
              <w:rPr>
                <w:rFonts w:ascii="Source Sans Pro Regular" w:hAnsi="Source Sans Pro Regular"/>
                <w:color w:val="898D8D"/>
                <w:sz w:val="20"/>
                <w:szCs w:val="20"/>
              </w:rPr>
              <w:t xml:space="preserve"> casos de abuso sexual y violación por cada 100,000 habitantes),</w:t>
            </w:r>
          </w:p>
          <w:p w14:paraId="1F7C46AF" w14:textId="77777777" w:rsidR="00607019" w:rsidRDefault="000A63FB" w:rsidP="00607019">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Venustiano Carranza </w:t>
            </w:r>
            <w:r w:rsidR="00A327E1">
              <w:rPr>
                <w:rFonts w:ascii="Source Sans Pro Regular" w:hAnsi="Source Sans Pro Regular"/>
                <w:color w:val="898D8D"/>
                <w:sz w:val="20"/>
                <w:szCs w:val="20"/>
              </w:rPr>
              <w:t>(</w:t>
            </w:r>
            <w:r w:rsidRPr="002C0FBF">
              <w:rPr>
                <w:rFonts w:ascii="Source Sans Pro Regular" w:hAnsi="Source Sans Pro Regular"/>
                <w:color w:val="898D8D"/>
                <w:sz w:val="20"/>
                <w:szCs w:val="20"/>
              </w:rPr>
              <w:t>82</w:t>
            </w:r>
            <w:r w:rsidR="00A327E1">
              <w:rPr>
                <w:rFonts w:ascii="Source Sans Pro Regular" w:hAnsi="Source Sans Pro Regular"/>
                <w:color w:val="898D8D"/>
                <w:sz w:val="20"/>
                <w:szCs w:val="20"/>
              </w:rPr>
              <w:t>)</w:t>
            </w:r>
          </w:p>
          <w:p w14:paraId="7A7B6EE3" w14:textId="77777777" w:rsidR="00607019" w:rsidRDefault="000A63FB" w:rsidP="00607019">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Álvaro Obregón </w:t>
            </w:r>
            <w:r w:rsidR="00A327E1">
              <w:rPr>
                <w:rFonts w:ascii="Source Sans Pro Regular" w:hAnsi="Source Sans Pro Regular"/>
                <w:color w:val="898D8D"/>
                <w:sz w:val="20"/>
                <w:szCs w:val="20"/>
              </w:rPr>
              <w:t>(</w:t>
            </w:r>
            <w:r w:rsidRPr="002C0FBF">
              <w:rPr>
                <w:rFonts w:ascii="Source Sans Pro Regular" w:hAnsi="Source Sans Pro Regular"/>
                <w:color w:val="898D8D"/>
                <w:sz w:val="20"/>
                <w:szCs w:val="20"/>
              </w:rPr>
              <w:t>72</w:t>
            </w:r>
            <w:r w:rsidR="00A327E1">
              <w:rPr>
                <w:rFonts w:ascii="Source Sans Pro Regular" w:hAnsi="Source Sans Pro Regular"/>
                <w:color w:val="898D8D"/>
                <w:sz w:val="20"/>
                <w:szCs w:val="20"/>
              </w:rPr>
              <w:t>)</w:t>
            </w:r>
          </w:p>
          <w:p w14:paraId="4ACD2CB8" w14:textId="77777777" w:rsidR="00607019" w:rsidRDefault="00A327E1" w:rsidP="00607019">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lastRenderedPageBreak/>
              <w:t>Milpa Alta (61)</w:t>
            </w:r>
          </w:p>
          <w:p w14:paraId="42EC694E" w14:textId="3C397E30" w:rsidR="00F82798" w:rsidRPr="002C0FBF" w:rsidRDefault="00A327E1" w:rsidP="00607019">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Cuajimalpa (</w:t>
            </w:r>
            <w:r w:rsidR="000A63FB" w:rsidRPr="002C0FBF">
              <w:rPr>
                <w:rFonts w:ascii="Source Sans Pro Regular" w:hAnsi="Source Sans Pro Regular"/>
                <w:color w:val="898D8D"/>
                <w:sz w:val="20"/>
                <w:szCs w:val="20"/>
              </w:rPr>
              <w:t>5</w:t>
            </w:r>
            <w:r>
              <w:rPr>
                <w:rFonts w:ascii="Source Sans Pro Regular" w:hAnsi="Source Sans Pro Regular"/>
                <w:color w:val="898D8D"/>
                <w:sz w:val="20"/>
                <w:szCs w:val="20"/>
              </w:rPr>
              <w:t>7).</w:t>
            </w:r>
          </w:p>
        </w:tc>
        <w:tc>
          <w:tcPr>
            <w:tcW w:w="3117" w:type="dxa"/>
          </w:tcPr>
          <w:p w14:paraId="0290B52C" w14:textId="77777777" w:rsidR="00F82798" w:rsidRPr="002C0FBF" w:rsidRDefault="00F82798">
            <w:pPr>
              <w:pStyle w:val="Normal1"/>
              <w:rPr>
                <w:rFonts w:ascii="Source Sans Pro Regular" w:hAnsi="Source Sans Pro Regular"/>
                <w:color w:val="898D8D"/>
                <w:sz w:val="20"/>
                <w:szCs w:val="20"/>
              </w:rPr>
            </w:pPr>
          </w:p>
        </w:tc>
      </w:tr>
      <w:tr w:rsidR="00F82798" w:rsidRPr="002C0FBF" w14:paraId="7627BE06" w14:textId="77777777" w:rsidTr="004D43EE">
        <w:tc>
          <w:tcPr>
            <w:tcW w:w="2174" w:type="dxa"/>
          </w:tcPr>
          <w:p w14:paraId="34566776" w14:textId="27B9BC63" w:rsidR="00F82798" w:rsidRPr="00A36AEE" w:rsidRDefault="000A63FB">
            <w:pPr>
              <w:pStyle w:val="Normal1"/>
              <w:rPr>
                <w:rFonts w:ascii="Source Sans Pro Regular" w:hAnsi="Source Sans Pro Regular"/>
                <w:b/>
                <w:color w:val="898D8D"/>
                <w:sz w:val="20"/>
                <w:szCs w:val="20"/>
              </w:rPr>
            </w:pPr>
            <w:r w:rsidRPr="00A36AEE">
              <w:rPr>
                <w:rFonts w:ascii="Source Sans Pro Regular" w:hAnsi="Source Sans Pro Regular"/>
                <w:b/>
                <w:color w:val="898D8D"/>
                <w:sz w:val="20"/>
                <w:szCs w:val="20"/>
              </w:rPr>
              <w:t xml:space="preserve">Feminicidios en la Ciudad </w:t>
            </w:r>
          </w:p>
          <w:p w14:paraId="71CBF6B1" w14:textId="77777777" w:rsidR="00F82798" w:rsidRPr="002C0FBF" w:rsidRDefault="00F82798">
            <w:pPr>
              <w:pStyle w:val="Normal1"/>
              <w:rPr>
                <w:rFonts w:ascii="Source Sans Pro Regular" w:hAnsi="Source Sans Pro Regular"/>
                <w:color w:val="898D8D"/>
                <w:sz w:val="20"/>
                <w:szCs w:val="20"/>
              </w:rPr>
            </w:pPr>
          </w:p>
          <w:p w14:paraId="38C3D747"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(página 335, figura 7.4)</w:t>
            </w:r>
          </w:p>
        </w:tc>
        <w:tc>
          <w:tcPr>
            <w:tcW w:w="4821" w:type="dxa"/>
          </w:tcPr>
          <w:p w14:paraId="7E3F6E91" w14:textId="77777777" w:rsidR="00DE0829" w:rsidRDefault="000A63FB" w:rsidP="00DE0829">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En </w:t>
            </w:r>
            <w:r w:rsidR="00143DA2">
              <w:rPr>
                <w:rFonts w:ascii="Source Sans Pro Regular" w:hAnsi="Source Sans Pro Regular"/>
                <w:color w:val="898D8D"/>
                <w:sz w:val="20"/>
                <w:szCs w:val="20"/>
              </w:rPr>
              <w:t xml:space="preserve">el año </w:t>
            </w:r>
            <w:r w:rsidRPr="002C0FBF">
              <w:rPr>
                <w:rFonts w:ascii="Source Sans Pro Regular" w:hAnsi="Source Sans Pro Regular"/>
                <w:color w:val="898D8D"/>
                <w:sz w:val="20"/>
                <w:szCs w:val="20"/>
              </w:rPr>
              <w:t>2019 hubo 71 feminicidios en la Ciudad. Más de la mitad de éstos (el 54%) tuvieron lugar en Iztapalapa, Gustavo A. Madero, Tlalpan y Xochimilco, demarcaciones donde, en conjunto, fueron registrados 38 (SESNSP 2020).</w:t>
            </w:r>
          </w:p>
          <w:p w14:paraId="7E24CD2A" w14:textId="4BE9B295" w:rsidR="00F82798" w:rsidRPr="00DE0829" w:rsidRDefault="000A63FB" w:rsidP="00DE0829">
            <w:pPr>
              <w:pStyle w:val="Normal1"/>
              <w:numPr>
                <w:ilvl w:val="0"/>
                <w:numId w:val="9"/>
              </w:numPr>
              <w:spacing w:after="60"/>
              <w:ind w:left="414" w:hanging="414"/>
              <w:rPr>
                <w:rFonts w:ascii="Source Sans Pro Regular" w:hAnsi="Source Sans Pro Regular"/>
                <w:color w:val="898D8D"/>
                <w:sz w:val="20"/>
                <w:szCs w:val="20"/>
              </w:rPr>
            </w:pPr>
            <w:r w:rsidRPr="00DE0829">
              <w:rPr>
                <w:rFonts w:ascii="Source Sans Pro Regular" w:hAnsi="Source Sans Pro Regular"/>
                <w:color w:val="898D8D"/>
                <w:sz w:val="20"/>
                <w:szCs w:val="20"/>
              </w:rPr>
              <w:t>Sin embargo, entre 2015 y 2019 se ha</w:t>
            </w:r>
            <w:r w:rsidR="00DE0829">
              <w:rPr>
                <w:rFonts w:ascii="Source Sans Pro Regular" w:hAnsi="Source Sans Pro Regular"/>
                <w:color w:val="898D8D"/>
                <w:sz w:val="20"/>
                <w:szCs w:val="20"/>
              </w:rPr>
              <w:t xml:space="preserve"> </w:t>
            </w:r>
            <w:r w:rsidRPr="00DE0829">
              <w:rPr>
                <w:rFonts w:ascii="Source Sans Pro Regular" w:hAnsi="Source Sans Pro Regular"/>
                <w:color w:val="898D8D"/>
                <w:sz w:val="20"/>
                <w:szCs w:val="20"/>
              </w:rPr>
              <w:t xml:space="preserve">reportado </w:t>
            </w:r>
            <w:r w:rsidR="00DE0829">
              <w:rPr>
                <w:rFonts w:ascii="Source Sans Pro Regular" w:hAnsi="Source Sans Pro Regular"/>
                <w:color w:val="898D8D"/>
                <w:sz w:val="20"/>
                <w:szCs w:val="20"/>
              </w:rPr>
              <w:t xml:space="preserve">un total de </w:t>
            </w:r>
            <w:r w:rsidRPr="00DE0829">
              <w:rPr>
                <w:rFonts w:ascii="Source Sans Pro Regular" w:hAnsi="Source Sans Pro Regular"/>
                <w:color w:val="898D8D"/>
                <w:sz w:val="20"/>
                <w:szCs w:val="20"/>
              </w:rPr>
              <w:t>253 feminicidios en la capital del país. Las alcaldías con mayor número de feminicidios en estos años son:</w:t>
            </w:r>
          </w:p>
          <w:p w14:paraId="1EDB7ADB" w14:textId="19D82B48" w:rsidR="00A225EE" w:rsidRDefault="000A63FB" w:rsidP="00A225EE">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Iztapalapa</w:t>
            </w:r>
            <w:r w:rsidR="00A225EE">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w:t>
            </w:r>
            <w:r w:rsidR="00A225EE">
              <w:rPr>
                <w:rFonts w:ascii="Source Sans Pro Regular" w:hAnsi="Source Sans Pro Regular"/>
                <w:color w:val="898D8D"/>
                <w:sz w:val="20"/>
                <w:szCs w:val="20"/>
              </w:rPr>
              <w:t>55</w:t>
            </w:r>
          </w:p>
          <w:p w14:paraId="19C18951" w14:textId="77777777" w:rsidR="00A225EE" w:rsidRDefault="000A63FB" w:rsidP="00A225EE">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Gustavo A. Madero</w:t>
            </w:r>
            <w:r w:rsidR="00A225EE">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29</w:t>
            </w:r>
          </w:p>
          <w:p w14:paraId="4AC51757" w14:textId="77777777" w:rsidR="00A225EE" w:rsidRDefault="000A63FB" w:rsidP="00A225EE">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Tlalpan </w:t>
            </w:r>
            <w:r w:rsidR="00A225EE">
              <w:rPr>
                <w:rFonts w:ascii="Source Sans Pro Regular" w:hAnsi="Source Sans Pro Regular"/>
                <w:color w:val="898D8D"/>
                <w:sz w:val="20"/>
                <w:szCs w:val="20"/>
              </w:rPr>
              <w:t>y</w:t>
            </w:r>
            <w:r w:rsidRPr="002C0FBF">
              <w:rPr>
                <w:rFonts w:ascii="Source Sans Pro Regular" w:hAnsi="Source Sans Pro Regular"/>
                <w:color w:val="898D8D"/>
                <w:sz w:val="20"/>
                <w:szCs w:val="20"/>
              </w:rPr>
              <w:t xml:space="preserve"> Xochimilco</w:t>
            </w:r>
            <w:r w:rsidR="00A225EE">
              <w:rPr>
                <w:rFonts w:ascii="Source Sans Pro Regular" w:hAnsi="Source Sans Pro Regular"/>
                <w:color w:val="898D8D"/>
                <w:sz w:val="20"/>
                <w:szCs w:val="20"/>
              </w:rPr>
              <w:t>: 23 en cada caso</w:t>
            </w:r>
          </w:p>
          <w:p w14:paraId="56F3F223" w14:textId="77777777" w:rsidR="00A225EE" w:rsidRDefault="000A63FB" w:rsidP="00A225EE">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Cuauhtémoc</w:t>
            </w:r>
            <w:r w:rsidR="00A225EE">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19</w:t>
            </w:r>
          </w:p>
          <w:p w14:paraId="64DFBEB1" w14:textId="5F74DEDC" w:rsidR="00F82798" w:rsidRPr="002C0FBF" w:rsidRDefault="000A63FB" w:rsidP="00A225EE">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Miguel Hidalgo</w:t>
            </w:r>
            <w:r w:rsidR="00A225EE">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15 </w:t>
            </w:r>
          </w:p>
        </w:tc>
        <w:tc>
          <w:tcPr>
            <w:tcW w:w="3117" w:type="dxa"/>
          </w:tcPr>
          <w:p w14:paraId="76A36A08" w14:textId="77777777" w:rsidR="00F82798" w:rsidRPr="002C0FBF" w:rsidRDefault="00F82798">
            <w:pPr>
              <w:pStyle w:val="Normal1"/>
              <w:rPr>
                <w:rFonts w:ascii="Source Sans Pro Regular" w:hAnsi="Source Sans Pro Regular"/>
                <w:color w:val="898D8D"/>
                <w:sz w:val="20"/>
                <w:szCs w:val="20"/>
              </w:rPr>
            </w:pPr>
          </w:p>
        </w:tc>
      </w:tr>
      <w:tr w:rsidR="00F82798" w:rsidRPr="002C0FBF" w14:paraId="7194F8DF" w14:textId="77777777" w:rsidTr="004D43EE">
        <w:tc>
          <w:tcPr>
            <w:tcW w:w="2174" w:type="dxa"/>
          </w:tcPr>
          <w:p w14:paraId="6DB1D59A" w14:textId="77777777" w:rsidR="00F82798" w:rsidRPr="00A36AEE" w:rsidRDefault="000A63FB">
            <w:pPr>
              <w:pStyle w:val="Normal1"/>
              <w:rPr>
                <w:rFonts w:ascii="Source Sans Pro Regular" w:hAnsi="Source Sans Pro Regular"/>
                <w:b/>
                <w:color w:val="898D8D"/>
                <w:sz w:val="20"/>
                <w:szCs w:val="20"/>
              </w:rPr>
            </w:pPr>
            <w:r w:rsidRPr="00A36AEE">
              <w:rPr>
                <w:rFonts w:ascii="Source Sans Pro Regular" w:hAnsi="Source Sans Pro Regular"/>
                <w:b/>
                <w:color w:val="898D8D"/>
                <w:sz w:val="20"/>
                <w:szCs w:val="20"/>
              </w:rPr>
              <w:t>Colonias con más delitos denunciados</w:t>
            </w:r>
          </w:p>
          <w:p w14:paraId="5A5C64AA" w14:textId="77777777" w:rsidR="00F82798" w:rsidRPr="002C0FBF" w:rsidRDefault="00F82798">
            <w:pPr>
              <w:pStyle w:val="Normal1"/>
              <w:rPr>
                <w:rFonts w:ascii="Source Sans Pro Regular" w:hAnsi="Source Sans Pro Regular"/>
                <w:color w:val="898D8D"/>
                <w:sz w:val="20"/>
                <w:szCs w:val="20"/>
              </w:rPr>
            </w:pPr>
          </w:p>
          <w:p w14:paraId="258EA101"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(cuadro 7.3)</w:t>
            </w:r>
          </w:p>
          <w:p w14:paraId="6BC375A2" w14:textId="77777777" w:rsidR="00F82798" w:rsidRPr="002C0FBF" w:rsidRDefault="00F82798">
            <w:pPr>
              <w:pStyle w:val="Normal1"/>
              <w:rPr>
                <w:rFonts w:ascii="Source Sans Pro Regular" w:hAnsi="Source Sans Pro Regular"/>
                <w:color w:val="898D8D"/>
                <w:sz w:val="20"/>
                <w:szCs w:val="20"/>
              </w:rPr>
            </w:pPr>
          </w:p>
          <w:p w14:paraId="4484B2A0" w14:textId="77777777" w:rsidR="00F82798" w:rsidRPr="002C0FBF" w:rsidRDefault="00F82798">
            <w:pPr>
              <w:pStyle w:val="Normal1"/>
              <w:rPr>
                <w:rFonts w:ascii="Source Sans Pro Regular" w:hAnsi="Source Sans Pro Regular"/>
                <w:color w:val="898D8D"/>
                <w:sz w:val="20"/>
                <w:szCs w:val="20"/>
              </w:rPr>
            </w:pPr>
          </w:p>
        </w:tc>
        <w:tc>
          <w:tcPr>
            <w:tcW w:w="4821" w:type="dxa"/>
          </w:tcPr>
          <w:p w14:paraId="522E42DE" w14:textId="77777777" w:rsidR="00DB13AC" w:rsidRDefault="000A63FB" w:rsidP="00717D01">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 2019, las colonias con más delitos denunciados (por actos cometidos durante ese año) son:</w:t>
            </w:r>
          </w:p>
          <w:p w14:paraId="07578C52" w14:textId="77777777" w:rsidR="006E4A77" w:rsidRDefault="00DB13AC" w:rsidP="00DB13AC">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C</w:t>
            </w:r>
            <w:r w:rsidR="000A63FB" w:rsidRPr="002C0FBF">
              <w:rPr>
                <w:rFonts w:ascii="Source Sans Pro Regular" w:hAnsi="Source Sans Pro Regular"/>
                <w:color w:val="898D8D"/>
                <w:sz w:val="20"/>
                <w:szCs w:val="20"/>
              </w:rPr>
              <w:t>entro</w:t>
            </w:r>
            <w:r w:rsidR="006E4A77">
              <w:rPr>
                <w:rFonts w:ascii="Source Sans Pro Regular" w:hAnsi="Source Sans Pro Regular"/>
                <w:color w:val="898D8D"/>
                <w:sz w:val="20"/>
                <w:szCs w:val="20"/>
              </w:rPr>
              <w:t>:</w:t>
            </w:r>
            <w:r w:rsidR="000A63FB" w:rsidRPr="002C0FBF">
              <w:rPr>
                <w:rFonts w:ascii="Source Sans Pro Regular" w:hAnsi="Source Sans Pro Regular"/>
                <w:color w:val="898D8D"/>
                <w:sz w:val="20"/>
                <w:szCs w:val="20"/>
              </w:rPr>
              <w:t xml:space="preserve"> 7,001 </w:t>
            </w:r>
            <w:r w:rsidR="006E4A77">
              <w:rPr>
                <w:rFonts w:ascii="Source Sans Pro Regular" w:hAnsi="Source Sans Pro Regular"/>
                <w:color w:val="898D8D"/>
                <w:sz w:val="20"/>
                <w:szCs w:val="20"/>
              </w:rPr>
              <w:t>(</w:t>
            </w:r>
            <w:r w:rsidR="000A63FB" w:rsidRPr="002C0FBF">
              <w:rPr>
                <w:rFonts w:ascii="Source Sans Pro Regular" w:hAnsi="Source Sans Pro Regular"/>
                <w:color w:val="898D8D"/>
                <w:sz w:val="20"/>
                <w:szCs w:val="20"/>
              </w:rPr>
              <w:t>carpetas de investigación)</w:t>
            </w:r>
          </w:p>
          <w:p w14:paraId="3496F2CB" w14:textId="77777777" w:rsidR="006E4A77" w:rsidRDefault="000A63FB" w:rsidP="00DB13AC">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Doctores</w:t>
            </w:r>
            <w:r w:rsidR="006E4A77">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3,932</w:t>
            </w:r>
          </w:p>
          <w:p w14:paraId="51EF87F0" w14:textId="77777777" w:rsidR="006E4A77" w:rsidRDefault="006E4A77" w:rsidP="00DB13AC">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 xml:space="preserve">Del Valle Centro: </w:t>
            </w:r>
            <w:r w:rsidR="000A63FB" w:rsidRPr="002C0FBF">
              <w:rPr>
                <w:rFonts w:ascii="Source Sans Pro Regular" w:hAnsi="Source Sans Pro Regular"/>
                <w:color w:val="898D8D"/>
                <w:sz w:val="20"/>
                <w:szCs w:val="20"/>
              </w:rPr>
              <w:t>3,123</w:t>
            </w:r>
          </w:p>
          <w:p w14:paraId="672C4169" w14:textId="77777777" w:rsidR="006E4A77" w:rsidRDefault="000A63FB" w:rsidP="00DB13AC">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Roma Norte</w:t>
            </w:r>
            <w:r w:rsidR="006E4A77">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2,590</w:t>
            </w:r>
          </w:p>
          <w:p w14:paraId="4959128D" w14:textId="77777777" w:rsidR="006E4A77" w:rsidRDefault="000A63FB" w:rsidP="00DB13AC">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Morelos</w:t>
            </w:r>
            <w:r w:rsidR="006E4A77">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2,461</w:t>
            </w:r>
          </w:p>
          <w:p w14:paraId="6CAF7849" w14:textId="77777777" w:rsidR="006E4A77" w:rsidRDefault="000A63FB" w:rsidP="00DB13AC">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Buenavista</w:t>
            </w:r>
            <w:r w:rsidR="006E4A77">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2,321</w:t>
            </w:r>
          </w:p>
          <w:p w14:paraId="0602F5D7" w14:textId="77777777" w:rsidR="006E4A77" w:rsidRDefault="000A63FB" w:rsidP="00DB13AC">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Narvarte</w:t>
            </w:r>
            <w:r w:rsidR="006E4A77">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2,289</w:t>
            </w:r>
          </w:p>
          <w:p w14:paraId="1FF5B8AB" w14:textId="77777777" w:rsidR="006E4A77" w:rsidRDefault="000A63FB" w:rsidP="00DB13AC">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Polanco</w:t>
            </w:r>
            <w:r w:rsidR="006E4A77">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1,991</w:t>
            </w:r>
          </w:p>
          <w:p w14:paraId="20B90BD4" w14:textId="77777777" w:rsidR="006E4A77" w:rsidRDefault="000A63FB" w:rsidP="00DB13AC">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Juárez</w:t>
            </w:r>
            <w:r w:rsidR="006E4A77">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1,921</w:t>
            </w:r>
          </w:p>
          <w:p w14:paraId="31C577D2" w14:textId="1D9BF1C8" w:rsidR="00F82798" w:rsidRPr="002C0FBF" w:rsidRDefault="000A63FB" w:rsidP="0097603D">
            <w:pPr>
              <w:pStyle w:val="Normal1"/>
              <w:numPr>
                <w:ilvl w:val="0"/>
                <w:numId w:val="8"/>
              </w:numPr>
              <w:spacing w:after="60"/>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Agrícola Oriental</w:t>
            </w:r>
            <w:r w:rsidR="006E4A77">
              <w:rPr>
                <w:rFonts w:ascii="Source Sans Pro Regular" w:hAnsi="Source Sans Pro Regular"/>
                <w:color w:val="898D8D"/>
                <w:sz w:val="20"/>
                <w:szCs w:val="20"/>
              </w:rPr>
              <w:t>: 1,854</w:t>
            </w:r>
          </w:p>
          <w:p w14:paraId="7F928901" w14:textId="1DF55A0F" w:rsidR="00F82798" w:rsidRPr="002C0FBF" w:rsidRDefault="00B0232A" w:rsidP="00B0232A">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t>En 2019, l</w:t>
            </w:r>
            <w:r w:rsidR="000A63FB" w:rsidRPr="002C0FBF">
              <w:rPr>
                <w:rFonts w:ascii="Source Sans Pro Regular" w:hAnsi="Source Sans Pro Regular"/>
                <w:color w:val="898D8D"/>
                <w:sz w:val="20"/>
                <w:szCs w:val="20"/>
              </w:rPr>
              <w:t xml:space="preserve">as carpetas de investigación abiertas en estas </w:t>
            </w:r>
            <w:r>
              <w:rPr>
                <w:rFonts w:ascii="Source Sans Pro Regular" w:hAnsi="Source Sans Pro Regular"/>
                <w:color w:val="898D8D"/>
                <w:sz w:val="20"/>
                <w:szCs w:val="20"/>
              </w:rPr>
              <w:t xml:space="preserve">10 </w:t>
            </w:r>
            <w:r w:rsidR="000A63FB" w:rsidRPr="002C0FBF">
              <w:rPr>
                <w:rFonts w:ascii="Source Sans Pro Regular" w:hAnsi="Source Sans Pro Regular"/>
                <w:color w:val="898D8D"/>
                <w:sz w:val="20"/>
                <w:szCs w:val="20"/>
              </w:rPr>
              <w:t xml:space="preserve">colonias representan el 13% de todas las abiertas en la Ciudad ese mismo año. </w:t>
            </w:r>
          </w:p>
        </w:tc>
        <w:tc>
          <w:tcPr>
            <w:tcW w:w="3117" w:type="dxa"/>
          </w:tcPr>
          <w:p w14:paraId="339EE3C6" w14:textId="77777777" w:rsidR="00F82798" w:rsidRPr="002C0FBF" w:rsidRDefault="00F82798">
            <w:pPr>
              <w:pStyle w:val="Normal1"/>
              <w:rPr>
                <w:rFonts w:ascii="Source Sans Pro Regular" w:hAnsi="Source Sans Pro Regular"/>
                <w:color w:val="898D8D"/>
                <w:sz w:val="20"/>
                <w:szCs w:val="20"/>
              </w:rPr>
            </w:pPr>
          </w:p>
        </w:tc>
      </w:tr>
      <w:tr w:rsidR="00F82798" w:rsidRPr="002C0FBF" w14:paraId="2F6FBE65" w14:textId="77777777" w:rsidTr="004D43EE">
        <w:tc>
          <w:tcPr>
            <w:tcW w:w="2174" w:type="dxa"/>
          </w:tcPr>
          <w:p w14:paraId="7B1C69F6" w14:textId="77777777" w:rsidR="00F82798" w:rsidRPr="00A36AEE" w:rsidRDefault="000A63FB">
            <w:pPr>
              <w:pStyle w:val="Normal1"/>
              <w:rPr>
                <w:rFonts w:ascii="Source Sans Pro Regular" w:hAnsi="Source Sans Pro Regular"/>
                <w:b/>
                <w:color w:val="898D8D"/>
                <w:sz w:val="20"/>
                <w:szCs w:val="20"/>
              </w:rPr>
            </w:pPr>
            <w:r w:rsidRPr="00A36AEE">
              <w:rPr>
                <w:rFonts w:ascii="Source Sans Pro Regular" w:hAnsi="Source Sans Pro Regular"/>
                <w:b/>
                <w:color w:val="898D8D"/>
                <w:sz w:val="20"/>
                <w:szCs w:val="20"/>
              </w:rPr>
              <w:t>Delitos más frecuentes</w:t>
            </w:r>
          </w:p>
          <w:p w14:paraId="0C19F263" w14:textId="77777777" w:rsidR="00F82798" w:rsidRPr="00A36AEE" w:rsidRDefault="00F82798">
            <w:pPr>
              <w:pStyle w:val="Normal1"/>
              <w:rPr>
                <w:rFonts w:ascii="Source Sans Pro Regular" w:hAnsi="Source Sans Pro Regular"/>
                <w:b/>
                <w:color w:val="898D8D"/>
                <w:sz w:val="20"/>
                <w:szCs w:val="20"/>
              </w:rPr>
            </w:pPr>
          </w:p>
          <w:p w14:paraId="5A7488B8"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(página 338).</w:t>
            </w:r>
          </w:p>
        </w:tc>
        <w:tc>
          <w:tcPr>
            <w:tcW w:w="4821" w:type="dxa"/>
          </w:tcPr>
          <w:p w14:paraId="780C1893" w14:textId="77777777" w:rsidR="0020601A" w:rsidRDefault="000A63FB" w:rsidP="0020601A">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Entre las carpetas de investigación abiertas en la Ciudad en 2019 destacan, por su elevada frecuencia</w:t>
            </w:r>
            <w:r w:rsidR="0020601A">
              <w:rPr>
                <w:rFonts w:ascii="Source Sans Pro Regular" w:hAnsi="Source Sans Pro Regular"/>
                <w:color w:val="898D8D"/>
                <w:sz w:val="20"/>
                <w:szCs w:val="20"/>
              </w:rPr>
              <w:t>:</w:t>
            </w:r>
          </w:p>
          <w:p w14:paraId="6DB941DC" w14:textId="4A178CFF" w:rsidR="0020601A" w:rsidRDefault="0020601A" w:rsidP="0020601A">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D</w:t>
            </w:r>
            <w:r w:rsidR="000A63FB" w:rsidRPr="002C0FBF">
              <w:rPr>
                <w:rFonts w:ascii="Source Sans Pro Regular" w:hAnsi="Source Sans Pro Regular"/>
                <w:color w:val="898D8D"/>
                <w:sz w:val="20"/>
                <w:szCs w:val="20"/>
              </w:rPr>
              <w:t>elitos de violencia familiar</w:t>
            </w:r>
            <w:r>
              <w:rPr>
                <w:rFonts w:ascii="Source Sans Pro Regular" w:hAnsi="Source Sans Pro Regular"/>
                <w:color w:val="898D8D"/>
                <w:sz w:val="20"/>
                <w:szCs w:val="20"/>
              </w:rPr>
              <w:t>: 25,103</w:t>
            </w:r>
          </w:p>
          <w:p w14:paraId="47DAE253" w14:textId="77777777" w:rsidR="0020601A" w:rsidRDefault="0020601A" w:rsidP="0020601A">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R</w:t>
            </w:r>
            <w:r w:rsidR="000A63FB" w:rsidRPr="002C0FBF">
              <w:rPr>
                <w:rFonts w:ascii="Source Sans Pro Regular" w:hAnsi="Source Sans Pro Regular"/>
                <w:color w:val="898D8D"/>
                <w:sz w:val="20"/>
                <w:szCs w:val="20"/>
              </w:rPr>
              <w:t>obo a negocio sin violencia</w:t>
            </w:r>
            <w:r>
              <w:rPr>
                <w:rFonts w:ascii="Source Sans Pro Regular" w:hAnsi="Source Sans Pro Regular"/>
                <w:color w:val="898D8D"/>
                <w:sz w:val="20"/>
                <w:szCs w:val="20"/>
              </w:rPr>
              <w:t>:</w:t>
            </w:r>
            <w:r w:rsidR="000A63FB" w:rsidRPr="002C0FBF">
              <w:rPr>
                <w:rFonts w:ascii="Source Sans Pro Regular" w:hAnsi="Source Sans Pro Regular"/>
                <w:color w:val="898D8D"/>
                <w:sz w:val="20"/>
                <w:szCs w:val="20"/>
              </w:rPr>
              <w:t xml:space="preserve"> </w:t>
            </w:r>
            <w:r>
              <w:rPr>
                <w:rFonts w:ascii="Source Sans Pro Regular" w:hAnsi="Source Sans Pro Regular"/>
                <w:color w:val="898D8D"/>
                <w:sz w:val="20"/>
                <w:szCs w:val="20"/>
              </w:rPr>
              <w:t>15,618</w:t>
            </w:r>
          </w:p>
          <w:p w14:paraId="08D240C4" w14:textId="77777777" w:rsidR="0020601A" w:rsidRDefault="0020601A" w:rsidP="0020601A">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A</w:t>
            </w:r>
            <w:r w:rsidR="000A63FB" w:rsidRPr="002C0FBF">
              <w:rPr>
                <w:rFonts w:ascii="Source Sans Pro Regular" w:hAnsi="Source Sans Pro Regular"/>
                <w:color w:val="898D8D"/>
                <w:sz w:val="20"/>
                <w:szCs w:val="20"/>
              </w:rPr>
              <w:t>menazas</w:t>
            </w:r>
            <w:r>
              <w:rPr>
                <w:rFonts w:ascii="Source Sans Pro Regular" w:hAnsi="Source Sans Pro Regular"/>
                <w:color w:val="898D8D"/>
                <w:sz w:val="20"/>
                <w:szCs w:val="20"/>
              </w:rPr>
              <w:t xml:space="preserve">: </w:t>
            </w:r>
            <w:r w:rsidR="000A63FB" w:rsidRPr="002C0FBF">
              <w:rPr>
                <w:rFonts w:ascii="Source Sans Pro Regular" w:hAnsi="Source Sans Pro Regular"/>
                <w:color w:val="898D8D"/>
                <w:sz w:val="20"/>
                <w:szCs w:val="20"/>
              </w:rPr>
              <w:t>13,</w:t>
            </w:r>
            <w:r>
              <w:rPr>
                <w:rFonts w:ascii="Source Sans Pro Regular" w:hAnsi="Source Sans Pro Regular"/>
                <w:color w:val="898D8D"/>
                <w:sz w:val="20"/>
                <w:szCs w:val="20"/>
              </w:rPr>
              <w:t>3</w:t>
            </w:r>
            <w:r w:rsidR="000A63FB" w:rsidRPr="002C0FBF">
              <w:rPr>
                <w:rFonts w:ascii="Source Sans Pro Regular" w:hAnsi="Source Sans Pro Regular"/>
                <w:color w:val="898D8D"/>
                <w:sz w:val="20"/>
                <w:szCs w:val="20"/>
              </w:rPr>
              <w:t>16</w:t>
            </w:r>
          </w:p>
          <w:p w14:paraId="45B7B478" w14:textId="77777777" w:rsidR="0020601A" w:rsidRDefault="0020601A" w:rsidP="0020601A">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R</w:t>
            </w:r>
            <w:r w:rsidR="000A63FB" w:rsidRPr="002C0FBF">
              <w:rPr>
                <w:rFonts w:ascii="Source Sans Pro Regular" w:hAnsi="Source Sans Pro Regular"/>
                <w:color w:val="898D8D"/>
                <w:sz w:val="20"/>
                <w:szCs w:val="20"/>
              </w:rPr>
              <w:t>obo a transeúnte en vía pública</w:t>
            </w:r>
            <w:r>
              <w:rPr>
                <w:rFonts w:ascii="Source Sans Pro Regular" w:hAnsi="Source Sans Pro Regular"/>
                <w:color w:val="898D8D"/>
                <w:sz w:val="20"/>
                <w:szCs w:val="20"/>
              </w:rPr>
              <w:t>:</w:t>
            </w:r>
            <w:r w:rsidR="000A63FB" w:rsidRPr="002C0FBF">
              <w:rPr>
                <w:rFonts w:ascii="Source Sans Pro Regular" w:hAnsi="Source Sans Pro Regular"/>
                <w:color w:val="898D8D"/>
                <w:sz w:val="20"/>
                <w:szCs w:val="20"/>
              </w:rPr>
              <w:t xml:space="preserve"> 13,250</w:t>
            </w:r>
          </w:p>
          <w:p w14:paraId="722D6199" w14:textId="77777777" w:rsidR="0020601A" w:rsidRDefault="0020601A" w:rsidP="0020601A">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R</w:t>
            </w:r>
            <w:r w:rsidR="000A63FB" w:rsidRPr="002C0FBF">
              <w:rPr>
                <w:rFonts w:ascii="Source Sans Pro Regular" w:hAnsi="Source Sans Pro Regular"/>
                <w:color w:val="898D8D"/>
                <w:sz w:val="20"/>
                <w:szCs w:val="20"/>
              </w:rPr>
              <w:t>obo de objetos</w:t>
            </w:r>
            <w:r>
              <w:rPr>
                <w:rFonts w:ascii="Source Sans Pro Regular" w:hAnsi="Source Sans Pro Regular"/>
                <w:color w:val="898D8D"/>
                <w:sz w:val="20"/>
                <w:szCs w:val="20"/>
              </w:rPr>
              <w:t xml:space="preserve">: </w:t>
            </w:r>
            <w:r w:rsidR="000A63FB" w:rsidRPr="002C0FBF">
              <w:rPr>
                <w:rFonts w:ascii="Source Sans Pro Regular" w:hAnsi="Source Sans Pro Regular"/>
                <w:color w:val="898D8D"/>
                <w:sz w:val="20"/>
                <w:szCs w:val="20"/>
              </w:rPr>
              <w:t>12,046</w:t>
            </w:r>
          </w:p>
          <w:p w14:paraId="43ADE2FF" w14:textId="63003060" w:rsidR="00F82798" w:rsidRPr="002C0FBF" w:rsidRDefault="0020601A" w:rsidP="0020601A">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 xml:space="preserve">Fraude: </w:t>
            </w:r>
            <w:r w:rsidR="000A63FB" w:rsidRPr="002C0FBF">
              <w:rPr>
                <w:rFonts w:ascii="Source Sans Pro Regular" w:hAnsi="Source Sans Pro Regular"/>
                <w:color w:val="898D8D"/>
                <w:sz w:val="20"/>
                <w:szCs w:val="20"/>
              </w:rPr>
              <w:t>11,450</w:t>
            </w:r>
          </w:p>
        </w:tc>
        <w:tc>
          <w:tcPr>
            <w:tcW w:w="3117" w:type="dxa"/>
          </w:tcPr>
          <w:p w14:paraId="00EA168D" w14:textId="77777777" w:rsidR="00F82798" w:rsidRPr="002C0FBF" w:rsidRDefault="00F82798">
            <w:pPr>
              <w:pStyle w:val="Normal1"/>
              <w:rPr>
                <w:rFonts w:ascii="Source Sans Pro Regular" w:hAnsi="Source Sans Pro Regular"/>
                <w:color w:val="898D8D"/>
                <w:sz w:val="20"/>
                <w:szCs w:val="20"/>
              </w:rPr>
            </w:pPr>
          </w:p>
        </w:tc>
      </w:tr>
      <w:tr w:rsidR="00F82798" w:rsidRPr="002C0FBF" w14:paraId="340EED30" w14:textId="77777777" w:rsidTr="004D43EE">
        <w:tc>
          <w:tcPr>
            <w:tcW w:w="2174" w:type="dxa"/>
          </w:tcPr>
          <w:p w14:paraId="6CE7F1BF" w14:textId="33295B60" w:rsidR="00F82798" w:rsidRPr="00A36AEE" w:rsidRDefault="000A63FB">
            <w:pPr>
              <w:pStyle w:val="Normal1"/>
              <w:rPr>
                <w:rFonts w:ascii="Source Sans Pro Regular" w:hAnsi="Source Sans Pro Regular"/>
                <w:b/>
                <w:color w:val="898D8D"/>
                <w:sz w:val="20"/>
                <w:szCs w:val="20"/>
              </w:rPr>
            </w:pPr>
            <w:r w:rsidRPr="00A36AEE">
              <w:rPr>
                <w:rFonts w:ascii="Source Sans Pro Regular" w:hAnsi="Source Sans Pro Regular"/>
                <w:b/>
                <w:color w:val="898D8D"/>
                <w:sz w:val="20"/>
                <w:szCs w:val="20"/>
              </w:rPr>
              <w:t>Delitos por violencia familiar</w:t>
            </w:r>
          </w:p>
          <w:p w14:paraId="1932158D" w14:textId="77777777" w:rsidR="00F82798" w:rsidRPr="002C0FBF" w:rsidRDefault="00F82798">
            <w:pPr>
              <w:pStyle w:val="Normal1"/>
              <w:rPr>
                <w:rFonts w:ascii="Source Sans Pro Regular" w:hAnsi="Source Sans Pro Regular"/>
                <w:color w:val="898D8D"/>
                <w:sz w:val="20"/>
                <w:szCs w:val="20"/>
              </w:rPr>
            </w:pPr>
          </w:p>
          <w:p w14:paraId="31718655"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(gráfica 7.9)</w:t>
            </w:r>
          </w:p>
        </w:tc>
        <w:tc>
          <w:tcPr>
            <w:tcW w:w="4821" w:type="dxa"/>
          </w:tcPr>
          <w:p w14:paraId="6B3B48FD" w14:textId="59DA3A20" w:rsidR="00F82798" w:rsidRPr="002C0FBF" w:rsidRDefault="000A63FB" w:rsidP="00A03108">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Existe una visible concentración geográfica de los hechos delictivos relacionados con </w:t>
            </w:r>
            <w:r w:rsidR="00A03108">
              <w:rPr>
                <w:rFonts w:ascii="Source Sans Pro Regular" w:hAnsi="Source Sans Pro Regular"/>
                <w:color w:val="898D8D"/>
                <w:sz w:val="20"/>
                <w:szCs w:val="20"/>
              </w:rPr>
              <w:t xml:space="preserve">la </w:t>
            </w:r>
            <w:r w:rsidRPr="002C0FBF">
              <w:rPr>
                <w:rFonts w:ascii="Source Sans Pro Regular" w:hAnsi="Source Sans Pro Regular"/>
                <w:color w:val="898D8D"/>
                <w:sz w:val="20"/>
                <w:szCs w:val="20"/>
              </w:rPr>
              <w:t xml:space="preserve">violencia familiar, pues el 10% de las carpetas iniciadas por este motivo en 2019 corresponden a 11 </w:t>
            </w:r>
            <w:proofErr w:type="gramStart"/>
            <w:r w:rsidRPr="002C0FBF">
              <w:rPr>
                <w:rFonts w:ascii="Source Sans Pro Regular" w:hAnsi="Source Sans Pro Regular"/>
                <w:color w:val="898D8D"/>
                <w:sz w:val="20"/>
                <w:szCs w:val="20"/>
              </w:rPr>
              <w:t>colonias</w:t>
            </w:r>
            <w:r w:rsidR="00A03108">
              <w:rPr>
                <w:rFonts w:ascii="Source Sans Pro Regular" w:hAnsi="Source Sans Pro Regular"/>
                <w:color w:val="898D8D"/>
                <w:sz w:val="20"/>
                <w:szCs w:val="20"/>
              </w:rPr>
              <w:t xml:space="preserve">, </w:t>
            </w:r>
            <w:r w:rsidRPr="002C0FBF">
              <w:rPr>
                <w:rFonts w:ascii="Source Sans Pro Regular" w:hAnsi="Source Sans Pro Regular"/>
                <w:color w:val="898D8D"/>
                <w:sz w:val="20"/>
                <w:szCs w:val="20"/>
              </w:rPr>
              <w:t xml:space="preserve"> ubicadas</w:t>
            </w:r>
            <w:proofErr w:type="gramEnd"/>
            <w:r w:rsidRPr="002C0FBF">
              <w:rPr>
                <w:rFonts w:ascii="Source Sans Pro Regular" w:hAnsi="Source Sans Pro Regular"/>
                <w:color w:val="898D8D"/>
                <w:sz w:val="20"/>
                <w:szCs w:val="20"/>
              </w:rPr>
              <w:t xml:space="preserve"> en </w:t>
            </w:r>
            <w:r w:rsidR="00A03108">
              <w:rPr>
                <w:rFonts w:ascii="Source Sans Pro Regular" w:hAnsi="Source Sans Pro Regular"/>
                <w:color w:val="898D8D"/>
                <w:sz w:val="20"/>
                <w:szCs w:val="20"/>
              </w:rPr>
              <w:t xml:space="preserve">las alcaldías </w:t>
            </w:r>
            <w:r w:rsidRPr="002C0FBF">
              <w:rPr>
                <w:rFonts w:ascii="Source Sans Pro Regular" w:hAnsi="Source Sans Pro Regular"/>
                <w:color w:val="898D8D"/>
                <w:sz w:val="20"/>
                <w:szCs w:val="20"/>
              </w:rPr>
              <w:t>Cuauhtémoc, Coyoacán, Gustavo A. Madero, Tlalpan</w:t>
            </w:r>
            <w:r w:rsidR="00574CC4">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Venustiano Carranza</w:t>
            </w:r>
            <w:r w:rsidR="00574CC4">
              <w:rPr>
                <w:rFonts w:ascii="Source Sans Pro Regular" w:hAnsi="Source Sans Pro Regular"/>
                <w:color w:val="898D8D"/>
                <w:sz w:val="20"/>
                <w:szCs w:val="20"/>
              </w:rPr>
              <w:t xml:space="preserve"> e Iztacalco</w:t>
            </w:r>
            <w:r w:rsidRPr="002C0FBF">
              <w:rPr>
                <w:rFonts w:ascii="Source Sans Pro Regular" w:hAnsi="Source Sans Pro Regular"/>
                <w:color w:val="898D8D"/>
                <w:sz w:val="20"/>
                <w:szCs w:val="20"/>
              </w:rPr>
              <w:t xml:space="preserve">. </w:t>
            </w:r>
          </w:p>
        </w:tc>
        <w:tc>
          <w:tcPr>
            <w:tcW w:w="3117" w:type="dxa"/>
          </w:tcPr>
          <w:p w14:paraId="5C6BF125" w14:textId="77777777" w:rsidR="00F82798" w:rsidRPr="002C0FBF" w:rsidRDefault="00F82798">
            <w:pPr>
              <w:pStyle w:val="Normal1"/>
              <w:rPr>
                <w:rFonts w:ascii="Source Sans Pro Regular" w:hAnsi="Source Sans Pro Regular"/>
                <w:color w:val="898D8D"/>
                <w:sz w:val="20"/>
                <w:szCs w:val="20"/>
              </w:rPr>
            </w:pPr>
          </w:p>
        </w:tc>
      </w:tr>
      <w:tr w:rsidR="00F82798" w:rsidRPr="002C0FBF" w14:paraId="4238D974" w14:textId="77777777" w:rsidTr="004D43EE">
        <w:tc>
          <w:tcPr>
            <w:tcW w:w="2174" w:type="dxa"/>
          </w:tcPr>
          <w:p w14:paraId="3BAE0E9F" w14:textId="77777777" w:rsidR="00F82798" w:rsidRPr="00A36AEE" w:rsidRDefault="000A63FB">
            <w:pPr>
              <w:pStyle w:val="Normal1"/>
              <w:rPr>
                <w:rFonts w:ascii="Source Sans Pro Regular" w:hAnsi="Source Sans Pro Regular"/>
                <w:b/>
                <w:color w:val="898D8D"/>
                <w:sz w:val="20"/>
                <w:szCs w:val="20"/>
              </w:rPr>
            </w:pPr>
            <w:r w:rsidRPr="00A36AEE">
              <w:rPr>
                <w:rFonts w:ascii="Source Sans Pro Regular" w:hAnsi="Source Sans Pro Regular"/>
                <w:b/>
                <w:color w:val="898D8D"/>
                <w:sz w:val="20"/>
                <w:szCs w:val="20"/>
              </w:rPr>
              <w:lastRenderedPageBreak/>
              <w:t>La inseguridad como problema</w:t>
            </w:r>
          </w:p>
          <w:p w14:paraId="1F73CED8" w14:textId="77777777" w:rsidR="00F82798" w:rsidRPr="002C0FBF" w:rsidRDefault="00F82798">
            <w:pPr>
              <w:pStyle w:val="Normal1"/>
              <w:rPr>
                <w:rFonts w:ascii="Source Sans Pro Regular" w:hAnsi="Source Sans Pro Regular"/>
                <w:color w:val="898D8D"/>
                <w:sz w:val="20"/>
                <w:szCs w:val="20"/>
              </w:rPr>
            </w:pPr>
          </w:p>
          <w:p w14:paraId="38D2E938"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Fuente: Diagnóstico (cuadro 7.4, cuadro 7.6) </w:t>
            </w:r>
          </w:p>
        </w:tc>
        <w:tc>
          <w:tcPr>
            <w:tcW w:w="4821" w:type="dxa"/>
          </w:tcPr>
          <w:p w14:paraId="4F8E7ED4" w14:textId="77777777" w:rsidR="00AE118D" w:rsidRDefault="000A63FB" w:rsidP="00AE118D">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 2018</w:t>
            </w:r>
            <w:r w:rsidR="00B16CEF">
              <w:rPr>
                <w:rFonts w:ascii="Source Sans Pro Regular" w:hAnsi="Source Sans Pro Regular"/>
                <w:color w:val="898D8D"/>
                <w:sz w:val="20"/>
                <w:szCs w:val="20"/>
              </w:rPr>
              <w:t>,</w:t>
            </w:r>
            <w:r w:rsidRPr="002C0FBF">
              <w:rPr>
                <w:rFonts w:ascii="Source Sans Pro Regular" w:hAnsi="Source Sans Pro Regular"/>
                <w:color w:val="898D8D"/>
                <w:sz w:val="20"/>
                <w:szCs w:val="20"/>
              </w:rPr>
              <w:t xml:space="preserve"> el 77.2% de la población adulta de la Ciudad considera la inseguridad pública como el problema más preocupante. En 2012,</w:t>
            </w:r>
            <w:r w:rsidR="00AE118D">
              <w:rPr>
                <w:rFonts w:ascii="Source Sans Pro Regular" w:hAnsi="Source Sans Pro Regular"/>
                <w:color w:val="898D8D"/>
                <w:sz w:val="20"/>
                <w:szCs w:val="20"/>
              </w:rPr>
              <w:t xml:space="preserve"> este porcentaje era del 63.6%.</w:t>
            </w:r>
          </w:p>
          <w:p w14:paraId="740826C5" w14:textId="31777FBF" w:rsidR="00F82798" w:rsidRPr="00AE118D" w:rsidRDefault="000A63FB" w:rsidP="00CF5F2A">
            <w:pPr>
              <w:pStyle w:val="Normal1"/>
              <w:numPr>
                <w:ilvl w:val="0"/>
                <w:numId w:val="9"/>
              </w:numPr>
              <w:spacing w:after="60"/>
              <w:ind w:left="414" w:hanging="414"/>
              <w:rPr>
                <w:rFonts w:ascii="Source Sans Pro Regular" w:hAnsi="Source Sans Pro Regular"/>
                <w:color w:val="898D8D"/>
                <w:sz w:val="20"/>
                <w:szCs w:val="20"/>
              </w:rPr>
            </w:pPr>
            <w:r w:rsidRPr="00AE118D">
              <w:rPr>
                <w:rFonts w:ascii="Source Sans Pro Regular" w:hAnsi="Source Sans Pro Regular"/>
                <w:color w:val="898D8D"/>
                <w:sz w:val="20"/>
                <w:szCs w:val="20"/>
              </w:rPr>
              <w:t xml:space="preserve">El 89.8% de los hombres </w:t>
            </w:r>
            <w:r w:rsidR="00CF5F2A">
              <w:rPr>
                <w:rFonts w:ascii="Source Sans Pro Regular" w:hAnsi="Source Sans Pro Regular"/>
                <w:color w:val="898D8D"/>
                <w:sz w:val="20"/>
                <w:szCs w:val="20"/>
              </w:rPr>
              <w:t xml:space="preserve">(adultos) </w:t>
            </w:r>
            <w:r w:rsidRPr="00AE118D">
              <w:rPr>
                <w:rFonts w:ascii="Source Sans Pro Regular" w:hAnsi="Source Sans Pro Regular"/>
                <w:color w:val="898D8D"/>
                <w:sz w:val="20"/>
                <w:szCs w:val="20"/>
              </w:rPr>
              <w:t>se perciben como potenciales víctimas de delito, frente al 91.4% de las mujeres</w:t>
            </w:r>
            <w:r w:rsidR="00CF5F2A">
              <w:rPr>
                <w:rFonts w:ascii="Source Sans Pro Regular" w:hAnsi="Source Sans Pro Regular"/>
                <w:color w:val="898D8D"/>
                <w:sz w:val="20"/>
                <w:szCs w:val="20"/>
              </w:rPr>
              <w:t xml:space="preserve"> (adultas)</w:t>
            </w:r>
            <w:r w:rsidRPr="00AE118D">
              <w:rPr>
                <w:rFonts w:ascii="Source Sans Pro Regular" w:hAnsi="Source Sans Pro Regular"/>
                <w:color w:val="898D8D"/>
                <w:sz w:val="20"/>
                <w:szCs w:val="20"/>
              </w:rPr>
              <w:t xml:space="preserve">. </w:t>
            </w:r>
          </w:p>
        </w:tc>
        <w:tc>
          <w:tcPr>
            <w:tcW w:w="3117" w:type="dxa"/>
          </w:tcPr>
          <w:p w14:paraId="77C4568A" w14:textId="77777777" w:rsidR="00F82798" w:rsidRPr="002C0FBF" w:rsidRDefault="00F82798">
            <w:pPr>
              <w:pStyle w:val="Normal1"/>
              <w:rPr>
                <w:rFonts w:ascii="Source Sans Pro Regular" w:hAnsi="Source Sans Pro Regular"/>
                <w:color w:val="898D8D"/>
                <w:sz w:val="20"/>
                <w:szCs w:val="20"/>
              </w:rPr>
            </w:pPr>
          </w:p>
        </w:tc>
      </w:tr>
      <w:tr w:rsidR="00F82798" w:rsidRPr="002C0FBF" w14:paraId="2A6E68AA" w14:textId="77777777" w:rsidTr="004D43EE">
        <w:trPr>
          <w:trHeight w:val="285"/>
        </w:trPr>
        <w:tc>
          <w:tcPr>
            <w:tcW w:w="2174" w:type="dxa"/>
          </w:tcPr>
          <w:p w14:paraId="19FB1195" w14:textId="28A46BAD" w:rsidR="00F82798" w:rsidRPr="00A36AEE" w:rsidRDefault="000A63FB">
            <w:pPr>
              <w:pStyle w:val="Normal1"/>
              <w:rPr>
                <w:rFonts w:ascii="Source Sans Pro Regular" w:hAnsi="Source Sans Pro Regular"/>
                <w:b/>
                <w:color w:val="898D8D"/>
                <w:sz w:val="20"/>
                <w:szCs w:val="20"/>
              </w:rPr>
            </w:pPr>
            <w:r w:rsidRPr="00A36AEE">
              <w:rPr>
                <w:rFonts w:ascii="Source Sans Pro Regular" w:hAnsi="Source Sans Pro Regular"/>
                <w:b/>
                <w:color w:val="898D8D"/>
                <w:sz w:val="20"/>
                <w:szCs w:val="20"/>
              </w:rPr>
              <w:t>Percepción de inseguridad</w:t>
            </w:r>
          </w:p>
          <w:p w14:paraId="4FDE3DD2" w14:textId="77777777" w:rsidR="00F82798" w:rsidRPr="002C0FBF" w:rsidRDefault="00F82798">
            <w:pPr>
              <w:pStyle w:val="Normal1"/>
              <w:rPr>
                <w:rFonts w:ascii="Source Sans Pro Regular" w:hAnsi="Source Sans Pro Regular"/>
                <w:color w:val="898D8D"/>
                <w:sz w:val="20"/>
                <w:szCs w:val="20"/>
              </w:rPr>
            </w:pPr>
          </w:p>
          <w:p w14:paraId="1BF68013"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(gráfica 7.12)</w:t>
            </w:r>
          </w:p>
        </w:tc>
        <w:tc>
          <w:tcPr>
            <w:tcW w:w="4821" w:type="dxa"/>
          </w:tcPr>
          <w:p w14:paraId="5A9C2A20" w14:textId="77777777" w:rsidR="00F82798" w:rsidRPr="002C0FBF" w:rsidRDefault="000A63FB" w:rsidP="008217FF">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 2018:</w:t>
            </w:r>
          </w:p>
          <w:p w14:paraId="3408E392" w14:textId="77777777" w:rsidR="00F82798" w:rsidRPr="002C0FBF" w:rsidRDefault="000A63FB" w:rsidP="008217FF">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El 88.3% de la población adulta de la Ciudad la percibe como un lugar inseguro.</w:t>
            </w:r>
          </w:p>
          <w:p w14:paraId="540F18A0" w14:textId="77777777" w:rsidR="00F82798" w:rsidRPr="002C0FBF" w:rsidRDefault="000A63FB" w:rsidP="008217FF">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El 78.4% considera que su alcaldía de residencia es insegura. </w:t>
            </w:r>
          </w:p>
          <w:p w14:paraId="6230A1FE" w14:textId="77777777" w:rsidR="00F82798" w:rsidRPr="002C0FBF" w:rsidRDefault="000A63FB" w:rsidP="008217FF">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El 67.4% opina que su colonia de residencia es insegura. </w:t>
            </w:r>
          </w:p>
        </w:tc>
        <w:tc>
          <w:tcPr>
            <w:tcW w:w="3117" w:type="dxa"/>
          </w:tcPr>
          <w:p w14:paraId="7EC36E61" w14:textId="77777777" w:rsidR="00F82798" w:rsidRPr="002C0FBF" w:rsidRDefault="00F82798">
            <w:pPr>
              <w:pStyle w:val="Normal1"/>
              <w:rPr>
                <w:rFonts w:ascii="Source Sans Pro Regular" w:hAnsi="Source Sans Pro Regular"/>
                <w:color w:val="898D8D"/>
                <w:sz w:val="20"/>
                <w:szCs w:val="20"/>
              </w:rPr>
            </w:pPr>
          </w:p>
        </w:tc>
      </w:tr>
      <w:tr w:rsidR="00F82798" w:rsidRPr="002C0FBF" w14:paraId="184BE836" w14:textId="77777777" w:rsidTr="004D43EE">
        <w:tc>
          <w:tcPr>
            <w:tcW w:w="2174" w:type="dxa"/>
          </w:tcPr>
          <w:p w14:paraId="68B20B1C" w14:textId="77777777" w:rsidR="00F82798" w:rsidRPr="00A36AEE" w:rsidRDefault="000A63FB">
            <w:pPr>
              <w:pStyle w:val="Normal1"/>
              <w:rPr>
                <w:rFonts w:ascii="Source Sans Pro Regular" w:hAnsi="Source Sans Pro Regular"/>
                <w:b/>
                <w:color w:val="898D8D"/>
                <w:sz w:val="20"/>
                <w:szCs w:val="20"/>
              </w:rPr>
            </w:pPr>
            <w:r w:rsidRPr="00A36AEE">
              <w:rPr>
                <w:rFonts w:ascii="Source Sans Pro Regular" w:hAnsi="Source Sans Pro Regular"/>
                <w:b/>
                <w:color w:val="898D8D"/>
                <w:sz w:val="20"/>
                <w:szCs w:val="20"/>
              </w:rPr>
              <w:t>Percepción de inseguridad en distintos lugares</w:t>
            </w:r>
          </w:p>
          <w:p w14:paraId="11612AB5" w14:textId="77777777" w:rsidR="00F82798" w:rsidRPr="002C0FBF" w:rsidRDefault="00F82798">
            <w:pPr>
              <w:pStyle w:val="Normal1"/>
              <w:rPr>
                <w:rFonts w:ascii="Source Sans Pro Regular" w:hAnsi="Source Sans Pro Regular"/>
                <w:color w:val="898D8D"/>
                <w:sz w:val="20"/>
                <w:szCs w:val="20"/>
              </w:rPr>
            </w:pPr>
          </w:p>
          <w:p w14:paraId="57B02D0E"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(gráfica 7.15)</w:t>
            </w:r>
          </w:p>
        </w:tc>
        <w:tc>
          <w:tcPr>
            <w:tcW w:w="4821" w:type="dxa"/>
          </w:tcPr>
          <w:p w14:paraId="1CBD60FB" w14:textId="77777777" w:rsidR="00F82798" w:rsidRPr="002C0FBF" w:rsidRDefault="000A63FB" w:rsidP="004C4AE9">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En 2018: </w:t>
            </w:r>
          </w:p>
          <w:p w14:paraId="357CD98E" w14:textId="05BAB95B" w:rsidR="00363E1B" w:rsidRDefault="000A63FB" w:rsidP="00363E1B">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El 91.3% de la población adulta de la Ciudad se siente insegura cuando va a un cajero automático</w:t>
            </w:r>
            <w:r w:rsidR="00363E1B">
              <w:rPr>
                <w:rFonts w:ascii="Source Sans Pro Regular" w:hAnsi="Source Sans Pro Regular"/>
                <w:color w:val="898D8D"/>
                <w:sz w:val="20"/>
                <w:szCs w:val="20"/>
              </w:rPr>
              <w:t>.</w:t>
            </w:r>
          </w:p>
          <w:p w14:paraId="3535C89C" w14:textId="77777777" w:rsidR="00363E1B" w:rsidRDefault="00363E1B" w:rsidP="00363E1B">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90.7% en el transporte público</w:t>
            </w:r>
            <w:r>
              <w:rPr>
                <w:rFonts w:ascii="Source Sans Pro Regular" w:hAnsi="Source Sans Pro Regular"/>
                <w:color w:val="898D8D"/>
                <w:sz w:val="20"/>
                <w:szCs w:val="20"/>
              </w:rPr>
              <w:t>.</w:t>
            </w:r>
          </w:p>
          <w:p w14:paraId="69230288" w14:textId="4AD8216B" w:rsidR="00363E1B" w:rsidRDefault="00363E1B" w:rsidP="00363E1B">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83.8% en la calle</w:t>
            </w:r>
            <w:r>
              <w:rPr>
                <w:rFonts w:ascii="Source Sans Pro Regular" w:hAnsi="Source Sans Pro Regular"/>
                <w:color w:val="898D8D"/>
                <w:sz w:val="20"/>
                <w:szCs w:val="20"/>
              </w:rPr>
              <w:t>.</w:t>
            </w:r>
          </w:p>
          <w:p w14:paraId="4586B3CB" w14:textId="77777777" w:rsidR="00363E1B" w:rsidRDefault="00363E1B" w:rsidP="00363E1B">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76.0% en el banco</w:t>
            </w:r>
            <w:r>
              <w:rPr>
                <w:rFonts w:ascii="Source Sans Pro Regular" w:hAnsi="Source Sans Pro Regular"/>
                <w:color w:val="898D8D"/>
                <w:sz w:val="20"/>
                <w:szCs w:val="20"/>
              </w:rPr>
              <w:t>.</w:t>
            </w:r>
          </w:p>
          <w:p w14:paraId="2DB3A12E" w14:textId="77777777" w:rsidR="00363E1B" w:rsidRDefault="00363E1B" w:rsidP="00363E1B">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66.3% en el parque o centro recreativo</w:t>
            </w:r>
            <w:r>
              <w:rPr>
                <w:rFonts w:ascii="Source Sans Pro Regular" w:hAnsi="Source Sans Pro Regular"/>
                <w:color w:val="898D8D"/>
                <w:sz w:val="20"/>
                <w:szCs w:val="20"/>
              </w:rPr>
              <w:t>.</w:t>
            </w:r>
          </w:p>
          <w:p w14:paraId="6E6F9DDE" w14:textId="77777777" w:rsidR="00363E1B" w:rsidRDefault="00363E1B" w:rsidP="00363E1B">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62.8% en el mercado</w:t>
            </w:r>
            <w:r>
              <w:rPr>
                <w:rFonts w:ascii="Source Sans Pro Regular" w:hAnsi="Source Sans Pro Regular"/>
                <w:color w:val="898D8D"/>
                <w:sz w:val="20"/>
                <w:szCs w:val="20"/>
              </w:rPr>
              <w:t>.</w:t>
            </w:r>
          </w:p>
          <w:p w14:paraId="651AC3CE" w14:textId="77777777" w:rsidR="00363E1B" w:rsidRDefault="00363E1B" w:rsidP="00363E1B">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54.3% en su automóvil</w:t>
            </w:r>
            <w:r>
              <w:rPr>
                <w:rFonts w:ascii="Source Sans Pro Regular" w:hAnsi="Source Sans Pro Regular"/>
                <w:color w:val="898D8D"/>
                <w:sz w:val="20"/>
                <w:szCs w:val="20"/>
              </w:rPr>
              <w:t>.</w:t>
            </w:r>
          </w:p>
          <w:p w14:paraId="447D4A9F" w14:textId="77777777" w:rsidR="00363E1B" w:rsidRDefault="00363E1B" w:rsidP="00363E1B">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45.3% en la escuela</w:t>
            </w:r>
            <w:r>
              <w:rPr>
                <w:rFonts w:ascii="Source Sans Pro Regular" w:hAnsi="Source Sans Pro Regular"/>
                <w:color w:val="898D8D"/>
                <w:sz w:val="20"/>
                <w:szCs w:val="20"/>
              </w:rPr>
              <w:t>.</w:t>
            </w:r>
          </w:p>
          <w:p w14:paraId="64767938" w14:textId="77777777" w:rsidR="00363E1B" w:rsidRDefault="00363E1B" w:rsidP="00363E1B">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 xml:space="preserve">l 45.1% en el centro </w:t>
            </w:r>
            <w:r w:rsidR="00A36AEE" w:rsidRPr="002C0FBF">
              <w:rPr>
                <w:rFonts w:ascii="Source Sans Pro Regular" w:hAnsi="Source Sans Pro Regular"/>
                <w:color w:val="898D8D"/>
                <w:sz w:val="20"/>
                <w:szCs w:val="20"/>
              </w:rPr>
              <w:t>comercial</w:t>
            </w:r>
            <w:r>
              <w:rPr>
                <w:rFonts w:ascii="Source Sans Pro Regular" w:hAnsi="Source Sans Pro Regular"/>
                <w:color w:val="898D8D"/>
                <w:sz w:val="20"/>
                <w:szCs w:val="20"/>
              </w:rPr>
              <w:t>.</w:t>
            </w:r>
          </w:p>
          <w:p w14:paraId="1553247A" w14:textId="77777777" w:rsidR="00363E1B" w:rsidRDefault="00363E1B" w:rsidP="00363E1B">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38.4% en el trabajo</w:t>
            </w:r>
          </w:p>
          <w:p w14:paraId="283E506E" w14:textId="2A46C408" w:rsidR="00F82798" w:rsidRPr="002C0FBF" w:rsidRDefault="00363E1B" w:rsidP="00363E1B">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El</w:t>
            </w:r>
            <w:r w:rsidR="000A63FB" w:rsidRPr="002C0FBF">
              <w:rPr>
                <w:rFonts w:ascii="Source Sans Pro Regular" w:hAnsi="Source Sans Pro Regular"/>
                <w:color w:val="898D8D"/>
                <w:sz w:val="20"/>
                <w:szCs w:val="20"/>
              </w:rPr>
              <w:t xml:space="preserve"> 24.3% en su casa. </w:t>
            </w:r>
          </w:p>
        </w:tc>
        <w:tc>
          <w:tcPr>
            <w:tcW w:w="3117" w:type="dxa"/>
          </w:tcPr>
          <w:p w14:paraId="79A05E3B" w14:textId="77777777" w:rsidR="00F82798" w:rsidRPr="002C0FBF" w:rsidRDefault="00F82798">
            <w:pPr>
              <w:pStyle w:val="Normal1"/>
              <w:rPr>
                <w:rFonts w:ascii="Source Sans Pro Regular" w:hAnsi="Source Sans Pro Regular"/>
                <w:color w:val="898D8D"/>
                <w:sz w:val="20"/>
                <w:szCs w:val="20"/>
              </w:rPr>
            </w:pPr>
          </w:p>
        </w:tc>
      </w:tr>
      <w:tr w:rsidR="00F82798" w:rsidRPr="002C0FBF" w14:paraId="72773FC7" w14:textId="77777777" w:rsidTr="004D43EE">
        <w:tc>
          <w:tcPr>
            <w:tcW w:w="2174" w:type="dxa"/>
          </w:tcPr>
          <w:p w14:paraId="33180CF3" w14:textId="301548D7" w:rsidR="00F82798" w:rsidRPr="00A36AEE" w:rsidRDefault="00A36AEE">
            <w:pPr>
              <w:pStyle w:val="Normal1"/>
              <w:rPr>
                <w:rFonts w:ascii="Source Sans Pro Regular" w:hAnsi="Source Sans Pro Regular"/>
                <w:b/>
                <w:color w:val="898D8D"/>
                <w:sz w:val="20"/>
                <w:szCs w:val="20"/>
              </w:rPr>
            </w:pPr>
            <w:r w:rsidRPr="00A36AEE">
              <w:rPr>
                <w:rFonts w:ascii="Source Sans Pro Regular" w:hAnsi="Source Sans Pro Regular"/>
                <w:b/>
                <w:color w:val="898D8D"/>
                <w:sz w:val="20"/>
                <w:szCs w:val="20"/>
              </w:rPr>
              <w:t>Modificación</w:t>
            </w:r>
            <w:r w:rsidR="000A63FB" w:rsidRPr="00A36AEE">
              <w:rPr>
                <w:rFonts w:ascii="Source Sans Pro Regular" w:hAnsi="Source Sans Pro Regular"/>
                <w:b/>
                <w:color w:val="898D8D"/>
                <w:sz w:val="20"/>
                <w:szCs w:val="20"/>
              </w:rPr>
              <w:t xml:space="preserve"> de </w:t>
            </w:r>
            <w:r w:rsidRPr="00A36AEE">
              <w:rPr>
                <w:rFonts w:ascii="Source Sans Pro Regular" w:hAnsi="Source Sans Pro Regular"/>
                <w:b/>
                <w:color w:val="898D8D"/>
                <w:sz w:val="20"/>
                <w:szCs w:val="20"/>
              </w:rPr>
              <w:t>actividades</w:t>
            </w:r>
            <w:r w:rsidR="000A63FB" w:rsidRPr="00A36AEE">
              <w:rPr>
                <w:rFonts w:ascii="Source Sans Pro Regular" w:hAnsi="Source Sans Pro Regular"/>
                <w:b/>
                <w:color w:val="898D8D"/>
                <w:sz w:val="20"/>
                <w:szCs w:val="20"/>
              </w:rPr>
              <w:t xml:space="preserve"> </w:t>
            </w:r>
            <w:r w:rsidRPr="00A36AEE">
              <w:rPr>
                <w:rFonts w:ascii="Source Sans Pro Regular" w:hAnsi="Source Sans Pro Regular"/>
                <w:b/>
                <w:color w:val="898D8D"/>
                <w:sz w:val="20"/>
                <w:szCs w:val="20"/>
              </w:rPr>
              <w:t>cotidianas</w:t>
            </w:r>
            <w:r w:rsidR="000A63FB" w:rsidRPr="00A36AEE">
              <w:rPr>
                <w:rFonts w:ascii="Source Sans Pro Regular" w:hAnsi="Source Sans Pro Regular"/>
                <w:b/>
                <w:color w:val="898D8D"/>
                <w:sz w:val="20"/>
                <w:szCs w:val="20"/>
              </w:rPr>
              <w:t xml:space="preserve"> por temor a ser v</w:t>
            </w:r>
            <w:r>
              <w:rPr>
                <w:rFonts w:ascii="Source Sans Pro Regular" w:hAnsi="Source Sans Pro Regular"/>
                <w:b/>
                <w:color w:val="898D8D"/>
                <w:sz w:val="20"/>
                <w:szCs w:val="20"/>
              </w:rPr>
              <w:t xml:space="preserve">íctima </w:t>
            </w:r>
            <w:r w:rsidR="000A63FB" w:rsidRPr="00A36AEE">
              <w:rPr>
                <w:rFonts w:ascii="Source Sans Pro Regular" w:hAnsi="Source Sans Pro Regular"/>
                <w:b/>
                <w:color w:val="898D8D"/>
                <w:sz w:val="20"/>
                <w:szCs w:val="20"/>
              </w:rPr>
              <w:t xml:space="preserve">de delito </w:t>
            </w:r>
          </w:p>
          <w:p w14:paraId="3CB59BFF" w14:textId="77777777" w:rsidR="00F82798" w:rsidRPr="002C0FBF" w:rsidRDefault="00F82798">
            <w:pPr>
              <w:pStyle w:val="Normal1"/>
              <w:rPr>
                <w:rFonts w:ascii="Source Sans Pro Regular" w:hAnsi="Source Sans Pro Regular"/>
                <w:color w:val="898D8D"/>
                <w:sz w:val="20"/>
                <w:szCs w:val="20"/>
              </w:rPr>
            </w:pPr>
          </w:p>
          <w:p w14:paraId="1E2E57B0"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(gráfica 7.17, cuadro 7.8)</w:t>
            </w:r>
          </w:p>
        </w:tc>
        <w:tc>
          <w:tcPr>
            <w:tcW w:w="4821" w:type="dxa"/>
          </w:tcPr>
          <w:p w14:paraId="72E6AA70" w14:textId="77777777" w:rsidR="00F82798" w:rsidRPr="002C0FBF" w:rsidRDefault="000A63FB" w:rsidP="00DC7166">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En 2017, por temor a ser víctima de delito:  </w:t>
            </w:r>
          </w:p>
          <w:p w14:paraId="16259109" w14:textId="6077E325" w:rsidR="00F82798" w:rsidRPr="002C0FBF" w:rsidRDefault="000A63FB" w:rsidP="00DC7166">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El 74.9% de la población adulta de la Ciudad no permite que sus hijos menores de edad salgan solos a la calle (en 2010 este porcentaje era de 61.8%)</w:t>
            </w:r>
            <w:r w:rsidR="00DC7166">
              <w:rPr>
                <w:rFonts w:ascii="Source Sans Pro Regular" w:hAnsi="Source Sans Pro Regular"/>
                <w:color w:val="898D8D"/>
                <w:sz w:val="20"/>
                <w:szCs w:val="20"/>
              </w:rPr>
              <w:t>.</w:t>
            </w:r>
          </w:p>
          <w:p w14:paraId="3A39D3F9" w14:textId="77777777" w:rsidR="00F82798" w:rsidRPr="002C0FBF" w:rsidRDefault="000A63FB" w:rsidP="00DC7166">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El 71.5% ha dejado de usar joyas.</w:t>
            </w:r>
          </w:p>
          <w:p w14:paraId="5785B8CB" w14:textId="77777777" w:rsidR="00F82798" w:rsidRPr="002C0FBF" w:rsidRDefault="000A63FB" w:rsidP="00DC7166">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El 63.8% no lleva dinero en efectivo. </w:t>
            </w:r>
          </w:p>
          <w:p w14:paraId="400F2C92" w14:textId="77777777" w:rsidR="00F82798" w:rsidRPr="002C0FBF" w:rsidRDefault="000A63FB" w:rsidP="00DC7166">
            <w:pPr>
              <w:pStyle w:val="Normal1"/>
              <w:numPr>
                <w:ilvl w:val="0"/>
                <w:numId w:val="8"/>
              </w:numPr>
              <w:ind w:left="714" w:hanging="357"/>
              <w:rPr>
                <w:rFonts w:ascii="Source Sans Pro Regular" w:hAnsi="Source Sans Pro Regular"/>
                <w:color w:val="898D8D"/>
                <w:sz w:val="20"/>
                <w:szCs w:val="20"/>
              </w:rPr>
            </w:pPr>
            <w:r w:rsidRPr="002C0FBF">
              <w:rPr>
                <w:rFonts w:ascii="Source Sans Pro Regular" w:hAnsi="Source Sans Pro Regular"/>
                <w:color w:val="898D8D"/>
                <w:sz w:val="20"/>
                <w:szCs w:val="20"/>
              </w:rPr>
              <w:t>El 56.3% no sale por la noche.</w:t>
            </w:r>
          </w:p>
        </w:tc>
        <w:tc>
          <w:tcPr>
            <w:tcW w:w="3117" w:type="dxa"/>
          </w:tcPr>
          <w:p w14:paraId="212DBB4D" w14:textId="77777777" w:rsidR="00F82798" w:rsidRPr="002C0FBF" w:rsidRDefault="00F82798">
            <w:pPr>
              <w:pStyle w:val="Normal1"/>
              <w:rPr>
                <w:rFonts w:ascii="Source Sans Pro Regular" w:hAnsi="Source Sans Pro Regular"/>
                <w:color w:val="898D8D"/>
                <w:sz w:val="20"/>
                <w:szCs w:val="20"/>
              </w:rPr>
            </w:pPr>
          </w:p>
        </w:tc>
      </w:tr>
      <w:tr w:rsidR="00F82798" w:rsidRPr="002C0FBF" w14:paraId="743C7753" w14:textId="77777777" w:rsidTr="004D43EE">
        <w:tc>
          <w:tcPr>
            <w:tcW w:w="2174" w:type="dxa"/>
          </w:tcPr>
          <w:p w14:paraId="63D6A815" w14:textId="77777777" w:rsidR="00F82798" w:rsidRPr="00BC1CEE" w:rsidRDefault="000A63FB">
            <w:pPr>
              <w:pStyle w:val="Normal1"/>
              <w:rPr>
                <w:rFonts w:ascii="Source Sans Pro Regular" w:hAnsi="Source Sans Pro Regular"/>
                <w:b/>
                <w:color w:val="898D8D"/>
                <w:sz w:val="20"/>
                <w:szCs w:val="20"/>
              </w:rPr>
            </w:pPr>
            <w:r w:rsidRPr="00BC1CEE">
              <w:rPr>
                <w:rFonts w:ascii="Source Sans Pro Regular" w:hAnsi="Source Sans Pro Regular"/>
                <w:b/>
                <w:color w:val="898D8D"/>
                <w:sz w:val="20"/>
                <w:szCs w:val="20"/>
              </w:rPr>
              <w:t>Confianza en las instituciones de seguridad públicas</w:t>
            </w:r>
          </w:p>
          <w:p w14:paraId="3CFB11F5" w14:textId="77777777" w:rsidR="00F82798" w:rsidRPr="002C0FBF" w:rsidRDefault="00F82798">
            <w:pPr>
              <w:pStyle w:val="Normal1"/>
              <w:rPr>
                <w:rFonts w:ascii="Source Sans Pro Regular" w:hAnsi="Source Sans Pro Regular"/>
                <w:color w:val="898D8D"/>
                <w:sz w:val="20"/>
                <w:szCs w:val="20"/>
              </w:rPr>
            </w:pPr>
          </w:p>
          <w:p w14:paraId="06ECC62A"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 xml:space="preserve">Fuente: Diagnóstico (gráfica 7.20) </w:t>
            </w:r>
          </w:p>
        </w:tc>
        <w:tc>
          <w:tcPr>
            <w:tcW w:w="4821" w:type="dxa"/>
          </w:tcPr>
          <w:p w14:paraId="350F49B2" w14:textId="77777777" w:rsidR="002448C2" w:rsidRDefault="000A63FB" w:rsidP="002448C2">
            <w:pPr>
              <w:pStyle w:val="Normal1"/>
              <w:numPr>
                <w:ilvl w:val="0"/>
                <w:numId w:val="9"/>
              </w:numPr>
              <w:spacing w:after="60"/>
              <w:ind w:left="414" w:hanging="414"/>
              <w:rPr>
                <w:rFonts w:ascii="Source Sans Pro Regular" w:hAnsi="Source Sans Pro Regular"/>
                <w:color w:val="898D8D"/>
                <w:sz w:val="20"/>
                <w:szCs w:val="20"/>
              </w:rPr>
            </w:pPr>
            <w:r w:rsidRPr="002C0FBF">
              <w:rPr>
                <w:rFonts w:ascii="Source Sans Pro Regular" w:hAnsi="Source Sans Pro Regular"/>
                <w:color w:val="898D8D"/>
                <w:sz w:val="20"/>
                <w:szCs w:val="20"/>
              </w:rPr>
              <w:t>En 2018</w:t>
            </w:r>
            <w:r w:rsidR="002448C2">
              <w:rPr>
                <w:rFonts w:ascii="Source Sans Pro Regular" w:hAnsi="Source Sans Pro Regular"/>
                <w:color w:val="898D8D"/>
                <w:sz w:val="20"/>
                <w:szCs w:val="20"/>
              </w:rPr>
              <w:t>:</w:t>
            </w:r>
          </w:p>
          <w:p w14:paraId="1E356910" w14:textId="2A3474C4" w:rsidR="002448C2" w:rsidRDefault="002448C2" w:rsidP="002448C2">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71.1% de la población adulta de la Ciudad desconfía de la policía de tránsito</w:t>
            </w:r>
            <w:r>
              <w:rPr>
                <w:rFonts w:ascii="Source Sans Pro Regular" w:hAnsi="Source Sans Pro Regular"/>
                <w:color w:val="898D8D"/>
                <w:sz w:val="20"/>
                <w:szCs w:val="20"/>
              </w:rPr>
              <w:t>.</w:t>
            </w:r>
          </w:p>
          <w:p w14:paraId="326EC769" w14:textId="77777777" w:rsidR="002448C2" w:rsidRDefault="002448C2" w:rsidP="002448C2">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69.1% del Ministerio Público</w:t>
            </w:r>
            <w:r>
              <w:rPr>
                <w:rFonts w:ascii="Source Sans Pro Regular" w:hAnsi="Source Sans Pro Regular"/>
                <w:color w:val="898D8D"/>
                <w:sz w:val="20"/>
                <w:szCs w:val="20"/>
              </w:rPr>
              <w:t>.</w:t>
            </w:r>
          </w:p>
          <w:p w14:paraId="0934017B" w14:textId="77777777" w:rsidR="002448C2" w:rsidRDefault="002448C2" w:rsidP="002448C2">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65.5% de la policía ministerial o judicial</w:t>
            </w:r>
            <w:r>
              <w:rPr>
                <w:rFonts w:ascii="Source Sans Pro Regular" w:hAnsi="Source Sans Pro Regular"/>
                <w:color w:val="898D8D"/>
                <w:sz w:val="20"/>
                <w:szCs w:val="20"/>
              </w:rPr>
              <w:t>.</w:t>
            </w:r>
          </w:p>
          <w:p w14:paraId="3748FE1F" w14:textId="77777777" w:rsidR="002448C2" w:rsidRDefault="002448C2" w:rsidP="002448C2">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63.7% de la policía estatal</w:t>
            </w:r>
            <w:r>
              <w:rPr>
                <w:rFonts w:ascii="Source Sans Pro Regular" w:hAnsi="Source Sans Pro Regular"/>
                <w:color w:val="898D8D"/>
                <w:sz w:val="20"/>
                <w:szCs w:val="20"/>
              </w:rPr>
              <w:t>.</w:t>
            </w:r>
          </w:p>
          <w:p w14:paraId="676BEC73" w14:textId="77777777" w:rsidR="002448C2" w:rsidRDefault="002448C2" w:rsidP="002448C2">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58.4% de la Procuraduría General de la R</w:t>
            </w:r>
            <w:r>
              <w:rPr>
                <w:rFonts w:ascii="Source Sans Pro Regular" w:hAnsi="Source Sans Pro Regular"/>
                <w:color w:val="898D8D"/>
                <w:sz w:val="20"/>
                <w:szCs w:val="20"/>
              </w:rPr>
              <w:t>epública (actualmente Fiscalía).</w:t>
            </w:r>
          </w:p>
          <w:p w14:paraId="303B1FFC" w14:textId="77777777" w:rsidR="002448C2" w:rsidRDefault="002448C2" w:rsidP="002448C2">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56.5% de los jue</w:t>
            </w:r>
            <w:r>
              <w:rPr>
                <w:rFonts w:ascii="Source Sans Pro Regular" w:hAnsi="Source Sans Pro Regular"/>
                <w:color w:val="898D8D"/>
                <w:sz w:val="20"/>
                <w:szCs w:val="20"/>
              </w:rPr>
              <w:t>c</w:t>
            </w:r>
            <w:r w:rsidR="000A63FB" w:rsidRPr="002C0FBF">
              <w:rPr>
                <w:rFonts w:ascii="Source Sans Pro Regular" w:hAnsi="Source Sans Pro Regular"/>
                <w:color w:val="898D8D"/>
                <w:sz w:val="20"/>
                <w:szCs w:val="20"/>
              </w:rPr>
              <w:t>es</w:t>
            </w:r>
          </w:p>
          <w:p w14:paraId="447AEAC9" w14:textId="419DD13F" w:rsidR="00F82798" w:rsidRPr="002C0FBF" w:rsidRDefault="002448C2" w:rsidP="002448C2">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 xml:space="preserve">l 45.6% de la policía federal. </w:t>
            </w:r>
          </w:p>
        </w:tc>
        <w:tc>
          <w:tcPr>
            <w:tcW w:w="3117" w:type="dxa"/>
          </w:tcPr>
          <w:p w14:paraId="3A8DFD55" w14:textId="77777777" w:rsidR="00F82798" w:rsidRPr="002C0FBF" w:rsidRDefault="00F82798">
            <w:pPr>
              <w:pStyle w:val="Normal1"/>
              <w:rPr>
                <w:rFonts w:ascii="Source Sans Pro Regular" w:hAnsi="Source Sans Pro Regular"/>
                <w:color w:val="898D8D"/>
                <w:sz w:val="20"/>
                <w:szCs w:val="20"/>
              </w:rPr>
            </w:pPr>
          </w:p>
        </w:tc>
      </w:tr>
      <w:tr w:rsidR="00F82798" w:rsidRPr="002C0FBF" w14:paraId="5C469EA7" w14:textId="77777777" w:rsidTr="004D43EE">
        <w:tc>
          <w:tcPr>
            <w:tcW w:w="2174" w:type="dxa"/>
          </w:tcPr>
          <w:p w14:paraId="4EBA9600" w14:textId="77777777" w:rsidR="00F82798" w:rsidRPr="00BC1CEE" w:rsidRDefault="000A63FB">
            <w:pPr>
              <w:pStyle w:val="Normal1"/>
              <w:rPr>
                <w:rFonts w:ascii="Source Sans Pro Regular" w:hAnsi="Source Sans Pro Regular"/>
                <w:b/>
                <w:color w:val="898D8D"/>
                <w:sz w:val="20"/>
                <w:szCs w:val="20"/>
              </w:rPr>
            </w:pPr>
            <w:r w:rsidRPr="00BC1CEE">
              <w:rPr>
                <w:rFonts w:ascii="Source Sans Pro Regular" w:hAnsi="Source Sans Pro Regular"/>
                <w:b/>
                <w:color w:val="898D8D"/>
                <w:sz w:val="20"/>
                <w:szCs w:val="20"/>
              </w:rPr>
              <w:t>Corrupción de las instituciones</w:t>
            </w:r>
          </w:p>
          <w:p w14:paraId="671958BC" w14:textId="77777777" w:rsidR="00F82798" w:rsidRPr="002C0FBF" w:rsidRDefault="00F82798">
            <w:pPr>
              <w:pStyle w:val="Normal1"/>
              <w:rPr>
                <w:rFonts w:ascii="Source Sans Pro Regular" w:hAnsi="Source Sans Pro Regular"/>
                <w:color w:val="898D8D"/>
                <w:sz w:val="20"/>
                <w:szCs w:val="20"/>
              </w:rPr>
            </w:pPr>
          </w:p>
          <w:p w14:paraId="526E2339" w14:textId="77777777" w:rsidR="00F82798" w:rsidRPr="002C0FBF" w:rsidRDefault="000A63FB">
            <w:pPr>
              <w:pStyle w:val="Normal1"/>
              <w:rPr>
                <w:rFonts w:ascii="Source Sans Pro Regular" w:hAnsi="Source Sans Pro Regular"/>
                <w:color w:val="898D8D"/>
                <w:sz w:val="20"/>
                <w:szCs w:val="20"/>
              </w:rPr>
            </w:pPr>
            <w:r w:rsidRPr="002C0FBF">
              <w:rPr>
                <w:rFonts w:ascii="Source Sans Pro Regular" w:hAnsi="Source Sans Pro Regular"/>
                <w:color w:val="898D8D"/>
                <w:sz w:val="20"/>
                <w:szCs w:val="20"/>
              </w:rPr>
              <w:t>Fuente: Diagnóstico (gráfica 7.26)</w:t>
            </w:r>
          </w:p>
        </w:tc>
        <w:tc>
          <w:tcPr>
            <w:tcW w:w="4821" w:type="dxa"/>
          </w:tcPr>
          <w:p w14:paraId="6308B46E" w14:textId="77777777" w:rsidR="006E25FE" w:rsidRDefault="006E25FE" w:rsidP="006E25FE">
            <w:pPr>
              <w:pStyle w:val="Normal1"/>
              <w:numPr>
                <w:ilvl w:val="0"/>
                <w:numId w:val="9"/>
              </w:numPr>
              <w:spacing w:after="60"/>
              <w:ind w:left="414" w:hanging="414"/>
              <w:rPr>
                <w:rFonts w:ascii="Source Sans Pro Regular" w:hAnsi="Source Sans Pro Regular"/>
                <w:color w:val="898D8D"/>
                <w:sz w:val="20"/>
                <w:szCs w:val="20"/>
              </w:rPr>
            </w:pPr>
            <w:r>
              <w:rPr>
                <w:rFonts w:ascii="Source Sans Pro Regular" w:hAnsi="Source Sans Pro Regular"/>
                <w:color w:val="898D8D"/>
                <w:sz w:val="20"/>
                <w:szCs w:val="20"/>
              </w:rPr>
              <w:lastRenderedPageBreak/>
              <w:t>En 2018:</w:t>
            </w:r>
          </w:p>
          <w:p w14:paraId="6787559C" w14:textId="77777777" w:rsidR="006E25FE" w:rsidRDefault="006E25FE" w:rsidP="006E25FE">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 xml:space="preserve">l 89.2% de la población adulta de la Ciudad </w:t>
            </w:r>
            <w:r w:rsidR="000A63FB" w:rsidRPr="002C0FBF">
              <w:rPr>
                <w:rFonts w:ascii="Source Sans Pro Regular" w:hAnsi="Source Sans Pro Regular"/>
                <w:color w:val="898D8D"/>
                <w:sz w:val="20"/>
                <w:szCs w:val="20"/>
              </w:rPr>
              <w:lastRenderedPageBreak/>
              <w:t>considera que la policía de tránsito es corrupta</w:t>
            </w:r>
            <w:r>
              <w:rPr>
                <w:rFonts w:ascii="Source Sans Pro Regular" w:hAnsi="Source Sans Pro Regular"/>
                <w:color w:val="898D8D"/>
                <w:sz w:val="20"/>
                <w:szCs w:val="20"/>
              </w:rPr>
              <w:t>.</w:t>
            </w:r>
          </w:p>
          <w:p w14:paraId="1FD4ADF0" w14:textId="77777777" w:rsidR="006E25FE" w:rsidRDefault="006E25FE" w:rsidP="006E25FE">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 xml:space="preserve">l 85.4% opina esto mismo del Ministerio </w:t>
            </w:r>
            <w:r w:rsidR="00E110FC" w:rsidRPr="002C0FBF">
              <w:rPr>
                <w:rFonts w:ascii="Source Sans Pro Regular" w:hAnsi="Source Sans Pro Regular"/>
                <w:color w:val="898D8D"/>
                <w:sz w:val="20"/>
                <w:szCs w:val="20"/>
              </w:rPr>
              <w:t>Público</w:t>
            </w:r>
            <w:r w:rsidR="000A63FB" w:rsidRPr="002C0FBF">
              <w:rPr>
                <w:rFonts w:ascii="Source Sans Pro Regular" w:hAnsi="Source Sans Pro Regular"/>
                <w:color w:val="898D8D"/>
                <w:sz w:val="20"/>
                <w:szCs w:val="20"/>
              </w:rPr>
              <w:t xml:space="preserve"> y</w:t>
            </w:r>
            <w:r>
              <w:rPr>
                <w:rFonts w:ascii="Source Sans Pro Regular" w:hAnsi="Source Sans Pro Regular"/>
                <w:color w:val="898D8D"/>
                <w:sz w:val="20"/>
                <w:szCs w:val="20"/>
              </w:rPr>
              <w:t xml:space="preserve"> de las procuradurías estatales.</w:t>
            </w:r>
          </w:p>
          <w:p w14:paraId="74653E21" w14:textId="77777777" w:rsidR="006E25FE" w:rsidRDefault="006E25FE" w:rsidP="006E25FE">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85.3% de la policía estatal</w:t>
            </w:r>
            <w:r>
              <w:rPr>
                <w:rFonts w:ascii="Source Sans Pro Regular" w:hAnsi="Source Sans Pro Regular"/>
                <w:color w:val="898D8D"/>
                <w:sz w:val="20"/>
                <w:szCs w:val="20"/>
              </w:rPr>
              <w:t>.</w:t>
            </w:r>
          </w:p>
          <w:p w14:paraId="07A17227" w14:textId="77777777" w:rsidR="006E25FE" w:rsidRDefault="006E25FE" w:rsidP="006E25FE">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83.8% de la policía ministerial o judicial</w:t>
            </w:r>
            <w:r>
              <w:rPr>
                <w:rFonts w:ascii="Source Sans Pro Regular" w:hAnsi="Source Sans Pro Regular"/>
                <w:color w:val="898D8D"/>
                <w:sz w:val="20"/>
                <w:szCs w:val="20"/>
              </w:rPr>
              <w:t>.</w:t>
            </w:r>
          </w:p>
          <w:p w14:paraId="31319D5F" w14:textId="77777777" w:rsidR="006E25FE" w:rsidRDefault="006E25FE" w:rsidP="006E25FE">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79.7% de la Procuraduría General de la República</w:t>
            </w:r>
          </w:p>
          <w:p w14:paraId="0EBD0F4B" w14:textId="77777777" w:rsidR="006E25FE" w:rsidRDefault="006E25FE" w:rsidP="006E25FE">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l 78.3% de los jue</w:t>
            </w:r>
            <w:r>
              <w:rPr>
                <w:rFonts w:ascii="Source Sans Pro Regular" w:hAnsi="Source Sans Pro Regular"/>
                <w:color w:val="898D8D"/>
                <w:sz w:val="20"/>
                <w:szCs w:val="20"/>
              </w:rPr>
              <w:t>c</w:t>
            </w:r>
            <w:r w:rsidR="000A63FB" w:rsidRPr="002C0FBF">
              <w:rPr>
                <w:rFonts w:ascii="Source Sans Pro Regular" w:hAnsi="Source Sans Pro Regular"/>
                <w:color w:val="898D8D"/>
                <w:sz w:val="20"/>
                <w:szCs w:val="20"/>
              </w:rPr>
              <w:t>es</w:t>
            </w:r>
          </w:p>
          <w:p w14:paraId="664A365E" w14:textId="6BC6DE72" w:rsidR="00F82798" w:rsidRPr="002C0FBF" w:rsidRDefault="006E25FE" w:rsidP="006E25FE">
            <w:pPr>
              <w:pStyle w:val="Normal1"/>
              <w:numPr>
                <w:ilvl w:val="0"/>
                <w:numId w:val="8"/>
              </w:numPr>
              <w:ind w:left="714" w:hanging="357"/>
              <w:rPr>
                <w:rFonts w:ascii="Source Sans Pro Regular" w:hAnsi="Source Sans Pro Regular"/>
                <w:color w:val="898D8D"/>
                <w:sz w:val="20"/>
                <w:szCs w:val="20"/>
              </w:rPr>
            </w:pPr>
            <w:r>
              <w:rPr>
                <w:rFonts w:ascii="Source Sans Pro Regular" w:hAnsi="Source Sans Pro Regular"/>
                <w:color w:val="898D8D"/>
                <w:sz w:val="20"/>
                <w:szCs w:val="20"/>
              </w:rPr>
              <w:t>E</w:t>
            </w:r>
            <w:r w:rsidR="000A63FB" w:rsidRPr="002C0FBF">
              <w:rPr>
                <w:rFonts w:ascii="Source Sans Pro Regular" w:hAnsi="Source Sans Pro Regular"/>
                <w:color w:val="898D8D"/>
                <w:sz w:val="20"/>
                <w:szCs w:val="20"/>
              </w:rPr>
              <w:t xml:space="preserve">l 72% de la policía federal. </w:t>
            </w:r>
          </w:p>
        </w:tc>
        <w:tc>
          <w:tcPr>
            <w:tcW w:w="3117" w:type="dxa"/>
          </w:tcPr>
          <w:p w14:paraId="4814AD3B" w14:textId="77777777" w:rsidR="00F82798" w:rsidRPr="002C0FBF" w:rsidRDefault="00F82798">
            <w:pPr>
              <w:pStyle w:val="Normal1"/>
              <w:rPr>
                <w:rFonts w:ascii="Source Sans Pro Regular" w:hAnsi="Source Sans Pro Regular"/>
                <w:color w:val="898D8D"/>
                <w:sz w:val="20"/>
                <w:szCs w:val="20"/>
              </w:rPr>
            </w:pPr>
          </w:p>
        </w:tc>
      </w:tr>
    </w:tbl>
    <w:p w14:paraId="1C414DED" w14:textId="57A4EAC7" w:rsidR="00F82798" w:rsidRDefault="00F82798">
      <w:pPr>
        <w:pStyle w:val="Normal1"/>
      </w:pPr>
    </w:p>
    <w:p w14:paraId="492AAED6" w14:textId="017630BE" w:rsidR="00F82798" w:rsidRDefault="000A63FB" w:rsidP="00BC1CEE">
      <w:pPr>
        <w:pStyle w:val="Normal1"/>
        <w:pBdr>
          <w:top w:val="nil"/>
          <w:left w:val="nil"/>
          <w:bottom w:val="nil"/>
          <w:right w:val="nil"/>
          <w:between w:val="nil"/>
        </w:pBdr>
      </w:pPr>
      <w:r>
        <w:rPr>
          <w:color w:val="000000"/>
        </w:rPr>
        <w:t xml:space="preserve"> </w:t>
      </w:r>
    </w:p>
    <w:sectPr w:rsidR="00F82798">
      <w:headerReference w:type="default" r:id="rId7"/>
      <w:footerReference w:type="even"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5A1AA" w14:textId="77777777" w:rsidR="0036574E" w:rsidRDefault="0036574E">
      <w:r>
        <w:separator/>
      </w:r>
    </w:p>
  </w:endnote>
  <w:endnote w:type="continuationSeparator" w:id="0">
    <w:p w14:paraId="08A3CCAC" w14:textId="77777777" w:rsidR="0036574E" w:rsidRDefault="0036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ource Sans Pro Regular">
    <w:altName w:val="Source Sans Pro"/>
    <w:charset w:val="00"/>
    <w:family w:val="auto"/>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Rounded Book">
    <w:altName w:val="Calibri"/>
    <w:charset w:val="00"/>
    <w:family w:val="auto"/>
    <w:pitch w:val="variable"/>
    <w:sig w:usb0="A000007F" w:usb1="4000004A" w:usb2="00000000" w:usb3="00000000" w:csb0="0000000B" w:csb1="00000000"/>
  </w:font>
  <w:font w:name="Source Sans Pro">
    <w:altName w:val="Source Sans Pro Regular"/>
    <w:charset w:val="00"/>
    <w:family w:val="swiss"/>
    <w:pitch w:val="variable"/>
    <w:sig w:usb0="600002F7" w:usb1="02000001" w:usb2="00000000" w:usb3="00000000" w:csb0="0000019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6B3C" w14:textId="77777777" w:rsidR="00555B76" w:rsidRDefault="00555B76" w:rsidP="00F15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7733B" w14:textId="77777777" w:rsidR="00555B76" w:rsidRDefault="00555B76" w:rsidP="00A07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C1B0" w14:textId="77777777" w:rsidR="00555B76" w:rsidRDefault="00555B76" w:rsidP="00F15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3A8B0DC" w14:textId="77777777" w:rsidR="00555B76" w:rsidRDefault="00555B76" w:rsidP="00A07A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5BE0C" w14:textId="77777777" w:rsidR="0036574E" w:rsidRDefault="0036574E">
      <w:r>
        <w:separator/>
      </w:r>
    </w:p>
  </w:footnote>
  <w:footnote w:type="continuationSeparator" w:id="0">
    <w:p w14:paraId="06E7A462" w14:textId="77777777" w:rsidR="0036574E" w:rsidRDefault="00365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9D3A6" w14:textId="141ACC30" w:rsidR="00555B76" w:rsidRPr="00F862AB" w:rsidRDefault="00555B76" w:rsidP="008A35D0">
    <w:pPr>
      <w:pStyle w:val="Normal1"/>
      <w:widowControl w:val="0"/>
      <w:pBdr>
        <w:top w:val="nil"/>
        <w:left w:val="nil"/>
        <w:bottom w:val="nil"/>
        <w:right w:val="nil"/>
        <w:between w:val="nil"/>
      </w:pBdr>
      <w:tabs>
        <w:tab w:val="center" w:pos="4419"/>
        <w:tab w:val="right" w:pos="8838"/>
      </w:tabs>
      <w:ind w:firstLine="4253"/>
      <w:rPr>
        <w:rFonts w:ascii="Source Sans Pro Regular" w:hAnsi="Source Sans Pro Regular"/>
        <w:color w:val="808080"/>
        <w:sz w:val="19"/>
        <w:szCs w:val="19"/>
      </w:rPr>
    </w:pPr>
    <w:r>
      <w:rPr>
        <w:noProof/>
        <w:lang w:val="es-ES"/>
      </w:rPr>
      <w:drawing>
        <wp:anchor distT="0" distB="0" distL="0" distR="0" simplePos="0" relativeHeight="251659264" behindDoc="0" locked="0" layoutInCell="1" hidden="0" allowOverlap="1" wp14:anchorId="735B5560" wp14:editId="63180448">
          <wp:simplePos x="0" y="0"/>
          <wp:positionH relativeFrom="column">
            <wp:posOffset>-571500</wp:posOffset>
          </wp:positionH>
          <wp:positionV relativeFrom="paragraph">
            <wp:posOffset>-121285</wp:posOffset>
          </wp:positionV>
          <wp:extent cx="2651125" cy="706755"/>
          <wp:effectExtent l="0" t="0" r="0" b="4445"/>
          <wp:wrapSquare wrapText="bothSides" distT="0" distB="0" distL="0" distR="0"/>
          <wp:docPr id="29"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1"/>
                  <a:srcRect/>
                  <a:stretch>
                    <a:fillRect/>
                  </a:stretch>
                </pic:blipFill>
                <pic:spPr>
                  <a:xfrm>
                    <a:off x="0" y="0"/>
                    <a:ext cx="2651125" cy="706755"/>
                  </a:xfrm>
                  <a:prstGeom prst="rect">
                    <a:avLst/>
                  </a:prstGeom>
                  <a:ln/>
                </pic:spPr>
              </pic:pic>
            </a:graphicData>
          </a:graphic>
        </wp:anchor>
      </w:drawing>
    </w:r>
    <w:r w:rsidRPr="00F862AB">
      <w:rPr>
        <w:rFonts w:ascii="Source Sans Pro Regular" w:hAnsi="Source Sans Pro Regular"/>
        <w:color w:val="808080"/>
        <w:sz w:val="19"/>
        <w:szCs w:val="19"/>
      </w:rPr>
      <w:t>CONSEJO DE EVALUACIÓN DEL DESARROLLO SOCIAL</w:t>
    </w:r>
  </w:p>
  <w:p w14:paraId="33E9609F" w14:textId="77777777" w:rsidR="00555B76" w:rsidRPr="00F862AB" w:rsidRDefault="00555B76" w:rsidP="008A35D0">
    <w:pPr>
      <w:pStyle w:val="Normal1"/>
      <w:widowControl w:val="0"/>
      <w:pBdr>
        <w:top w:val="nil"/>
        <w:left w:val="nil"/>
        <w:bottom w:val="nil"/>
        <w:right w:val="nil"/>
        <w:between w:val="nil"/>
      </w:pBdr>
      <w:tabs>
        <w:tab w:val="center" w:pos="4419"/>
        <w:tab w:val="right" w:pos="8838"/>
      </w:tabs>
      <w:ind w:firstLine="4253"/>
      <w:rPr>
        <w:rFonts w:ascii="Source Sans Pro Regular" w:hAnsi="Source Sans Pro Regular"/>
        <w:b/>
        <w:color w:val="808080"/>
        <w:sz w:val="19"/>
        <w:szCs w:val="19"/>
      </w:rPr>
    </w:pPr>
    <w:r w:rsidRPr="00F862AB">
      <w:rPr>
        <w:rFonts w:ascii="Source Sans Pro Regular" w:hAnsi="Source Sans Pro Regular"/>
        <w:b/>
        <w:color w:val="808080"/>
        <w:sz w:val="19"/>
        <w:szCs w:val="19"/>
      </w:rPr>
      <w:t>DIRECCIÓN GENERAL</w:t>
    </w:r>
  </w:p>
  <w:p w14:paraId="1B2C7B05" w14:textId="77777777" w:rsidR="00555B76" w:rsidRPr="00F862AB" w:rsidRDefault="00555B76" w:rsidP="008A35D0">
    <w:pPr>
      <w:pStyle w:val="Normal1"/>
      <w:widowControl w:val="0"/>
      <w:pBdr>
        <w:top w:val="nil"/>
        <w:left w:val="nil"/>
        <w:bottom w:val="nil"/>
        <w:right w:val="nil"/>
        <w:between w:val="nil"/>
      </w:pBdr>
      <w:tabs>
        <w:tab w:val="center" w:pos="4419"/>
        <w:tab w:val="right" w:pos="8838"/>
      </w:tabs>
      <w:ind w:firstLine="4253"/>
      <w:rPr>
        <w:rFonts w:ascii="Source Sans Pro Regular" w:hAnsi="Source Sans Pro Regular"/>
        <w:color w:val="000000"/>
      </w:rPr>
    </w:pPr>
    <w:r w:rsidRPr="00F862AB">
      <w:rPr>
        <w:rFonts w:ascii="Source Sans Pro Regular" w:hAnsi="Source Sans Pro Regular"/>
        <w:b/>
        <w:color w:val="808080"/>
        <w:sz w:val="19"/>
        <w:szCs w:val="19"/>
      </w:rPr>
      <w:t>DIRECCIÓN DE INVESTIGACIÓN Y ESTUDIOS SOCIALES</w:t>
    </w:r>
  </w:p>
  <w:p w14:paraId="6A9BDA8B" w14:textId="1321D5FB" w:rsidR="00555B76" w:rsidRDefault="00555B76">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0457F"/>
    <w:multiLevelType w:val="hybridMultilevel"/>
    <w:tmpl w:val="DC80BBA0"/>
    <w:lvl w:ilvl="0" w:tplc="0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FA32FE"/>
    <w:multiLevelType w:val="multilevel"/>
    <w:tmpl w:val="E71255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4478D1"/>
    <w:multiLevelType w:val="multilevel"/>
    <w:tmpl w:val="692C4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65963"/>
    <w:multiLevelType w:val="multilevel"/>
    <w:tmpl w:val="F16E9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0C3F6D"/>
    <w:multiLevelType w:val="hybridMultilevel"/>
    <w:tmpl w:val="018EE60A"/>
    <w:lvl w:ilvl="0" w:tplc="0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BB790E"/>
    <w:multiLevelType w:val="hybridMultilevel"/>
    <w:tmpl w:val="C70EFB0C"/>
    <w:lvl w:ilvl="0" w:tplc="00000001">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BC3D0E"/>
    <w:multiLevelType w:val="hybridMultilevel"/>
    <w:tmpl w:val="E712558E"/>
    <w:lvl w:ilvl="0" w:tplc="0C0A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852C76"/>
    <w:multiLevelType w:val="hybridMultilevel"/>
    <w:tmpl w:val="77989192"/>
    <w:lvl w:ilvl="0" w:tplc="0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C76286"/>
    <w:multiLevelType w:val="hybridMultilevel"/>
    <w:tmpl w:val="D87E1100"/>
    <w:lvl w:ilvl="0" w:tplc="0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FE6CFB"/>
    <w:multiLevelType w:val="hybridMultilevel"/>
    <w:tmpl w:val="40E623E4"/>
    <w:lvl w:ilvl="0" w:tplc="0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9"/>
  </w:num>
  <w:num w:numId="5">
    <w:abstractNumId w:val="4"/>
  </w:num>
  <w:num w:numId="6">
    <w:abstractNumId w:val="7"/>
  </w:num>
  <w:num w:numId="7">
    <w:abstractNumId w:val="0"/>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98"/>
    <w:rsid w:val="000146DE"/>
    <w:rsid w:val="00032E6A"/>
    <w:rsid w:val="0003591C"/>
    <w:rsid w:val="000439B0"/>
    <w:rsid w:val="00043DA0"/>
    <w:rsid w:val="00051F0B"/>
    <w:rsid w:val="00052F9C"/>
    <w:rsid w:val="00054955"/>
    <w:rsid w:val="00056A00"/>
    <w:rsid w:val="0005733B"/>
    <w:rsid w:val="000603C6"/>
    <w:rsid w:val="00064473"/>
    <w:rsid w:val="00065AAB"/>
    <w:rsid w:val="000704EA"/>
    <w:rsid w:val="00074CE5"/>
    <w:rsid w:val="00086BFC"/>
    <w:rsid w:val="00090535"/>
    <w:rsid w:val="00092C28"/>
    <w:rsid w:val="00096E1F"/>
    <w:rsid w:val="000A3764"/>
    <w:rsid w:val="000A63FB"/>
    <w:rsid w:val="000A7D33"/>
    <w:rsid w:val="000B3BFD"/>
    <w:rsid w:val="000B5E07"/>
    <w:rsid w:val="000C0647"/>
    <w:rsid w:val="000C1D8D"/>
    <w:rsid w:val="000D4E90"/>
    <w:rsid w:val="000D7980"/>
    <w:rsid w:val="000E6A28"/>
    <w:rsid w:val="000E6A3D"/>
    <w:rsid w:val="000E7CB1"/>
    <w:rsid w:val="000F0A3B"/>
    <w:rsid w:val="000F0BBF"/>
    <w:rsid w:val="000F37B6"/>
    <w:rsid w:val="0010716B"/>
    <w:rsid w:val="00107BC7"/>
    <w:rsid w:val="00111AB6"/>
    <w:rsid w:val="00111AC1"/>
    <w:rsid w:val="00121046"/>
    <w:rsid w:val="001305AB"/>
    <w:rsid w:val="0013409E"/>
    <w:rsid w:val="0013715C"/>
    <w:rsid w:val="00142A8B"/>
    <w:rsid w:val="00143DA2"/>
    <w:rsid w:val="001612CF"/>
    <w:rsid w:val="00162F41"/>
    <w:rsid w:val="001956C8"/>
    <w:rsid w:val="001D1FAC"/>
    <w:rsid w:val="001D300B"/>
    <w:rsid w:val="001E1F38"/>
    <w:rsid w:val="001E3860"/>
    <w:rsid w:val="001E5DA3"/>
    <w:rsid w:val="001E7EA6"/>
    <w:rsid w:val="001F4FC7"/>
    <w:rsid w:val="002012E4"/>
    <w:rsid w:val="00204962"/>
    <w:rsid w:val="0020601A"/>
    <w:rsid w:val="00214127"/>
    <w:rsid w:val="0021619B"/>
    <w:rsid w:val="002219F6"/>
    <w:rsid w:val="00241769"/>
    <w:rsid w:val="002448C2"/>
    <w:rsid w:val="0026107F"/>
    <w:rsid w:val="00277744"/>
    <w:rsid w:val="00283F74"/>
    <w:rsid w:val="002A13E1"/>
    <w:rsid w:val="002C00E9"/>
    <w:rsid w:val="002C0FBF"/>
    <w:rsid w:val="002E091D"/>
    <w:rsid w:val="002E3DDB"/>
    <w:rsid w:val="002F7535"/>
    <w:rsid w:val="00301049"/>
    <w:rsid w:val="003036B7"/>
    <w:rsid w:val="00310A04"/>
    <w:rsid w:val="0032440B"/>
    <w:rsid w:val="00327367"/>
    <w:rsid w:val="00336729"/>
    <w:rsid w:val="00362CF3"/>
    <w:rsid w:val="00363E1B"/>
    <w:rsid w:val="0036574E"/>
    <w:rsid w:val="0039293F"/>
    <w:rsid w:val="003A7F15"/>
    <w:rsid w:val="003C5E5F"/>
    <w:rsid w:val="003D1F44"/>
    <w:rsid w:val="003D5F95"/>
    <w:rsid w:val="003E2505"/>
    <w:rsid w:val="003F170F"/>
    <w:rsid w:val="003F2C2C"/>
    <w:rsid w:val="00400796"/>
    <w:rsid w:val="00401768"/>
    <w:rsid w:val="00407A00"/>
    <w:rsid w:val="0043226C"/>
    <w:rsid w:val="00437BE6"/>
    <w:rsid w:val="004514C4"/>
    <w:rsid w:val="00453294"/>
    <w:rsid w:val="00460E88"/>
    <w:rsid w:val="0046176D"/>
    <w:rsid w:val="0048594F"/>
    <w:rsid w:val="004863B9"/>
    <w:rsid w:val="004963EF"/>
    <w:rsid w:val="0049710D"/>
    <w:rsid w:val="004B1345"/>
    <w:rsid w:val="004B72E8"/>
    <w:rsid w:val="004C1A46"/>
    <w:rsid w:val="004C2FC0"/>
    <w:rsid w:val="004C4AE9"/>
    <w:rsid w:val="004C69A3"/>
    <w:rsid w:val="004D43EE"/>
    <w:rsid w:val="004D6092"/>
    <w:rsid w:val="004D68B5"/>
    <w:rsid w:val="004E461F"/>
    <w:rsid w:val="004E570D"/>
    <w:rsid w:val="004F1B04"/>
    <w:rsid w:val="004F5E55"/>
    <w:rsid w:val="004F7608"/>
    <w:rsid w:val="0050169B"/>
    <w:rsid w:val="0050324E"/>
    <w:rsid w:val="00503589"/>
    <w:rsid w:val="00512279"/>
    <w:rsid w:val="0051258E"/>
    <w:rsid w:val="00513946"/>
    <w:rsid w:val="00517506"/>
    <w:rsid w:val="005302E2"/>
    <w:rsid w:val="00537917"/>
    <w:rsid w:val="00546F1A"/>
    <w:rsid w:val="00555B76"/>
    <w:rsid w:val="00560DE5"/>
    <w:rsid w:val="00571DBD"/>
    <w:rsid w:val="00574CC4"/>
    <w:rsid w:val="0057693A"/>
    <w:rsid w:val="00584E5D"/>
    <w:rsid w:val="00592871"/>
    <w:rsid w:val="00595C68"/>
    <w:rsid w:val="005A1349"/>
    <w:rsid w:val="005A13B9"/>
    <w:rsid w:val="005B2E6B"/>
    <w:rsid w:val="005C2427"/>
    <w:rsid w:val="005C36D2"/>
    <w:rsid w:val="005C6793"/>
    <w:rsid w:val="005D3531"/>
    <w:rsid w:val="005D7D65"/>
    <w:rsid w:val="005E36D9"/>
    <w:rsid w:val="005F22B8"/>
    <w:rsid w:val="005F3CDD"/>
    <w:rsid w:val="005F7C7D"/>
    <w:rsid w:val="00602222"/>
    <w:rsid w:val="00605608"/>
    <w:rsid w:val="00607019"/>
    <w:rsid w:val="00614A85"/>
    <w:rsid w:val="006266DB"/>
    <w:rsid w:val="00657B23"/>
    <w:rsid w:val="00661C00"/>
    <w:rsid w:val="00662EC8"/>
    <w:rsid w:val="006646DD"/>
    <w:rsid w:val="00680138"/>
    <w:rsid w:val="00686A1B"/>
    <w:rsid w:val="006A266D"/>
    <w:rsid w:val="006A7849"/>
    <w:rsid w:val="006C1657"/>
    <w:rsid w:val="006D4CCA"/>
    <w:rsid w:val="006E08A2"/>
    <w:rsid w:val="006E25FE"/>
    <w:rsid w:val="006E3BE7"/>
    <w:rsid w:val="006E4A77"/>
    <w:rsid w:val="006E6730"/>
    <w:rsid w:val="006F26F8"/>
    <w:rsid w:val="006F521B"/>
    <w:rsid w:val="007004AA"/>
    <w:rsid w:val="00701A59"/>
    <w:rsid w:val="007035A5"/>
    <w:rsid w:val="00717D01"/>
    <w:rsid w:val="00724F7C"/>
    <w:rsid w:val="00740FCD"/>
    <w:rsid w:val="00755E7A"/>
    <w:rsid w:val="007613D3"/>
    <w:rsid w:val="00781176"/>
    <w:rsid w:val="00787A4B"/>
    <w:rsid w:val="00791307"/>
    <w:rsid w:val="00794E81"/>
    <w:rsid w:val="00797C8B"/>
    <w:rsid w:val="007B43DA"/>
    <w:rsid w:val="007B4A2D"/>
    <w:rsid w:val="007B537D"/>
    <w:rsid w:val="007C0DC8"/>
    <w:rsid w:val="007C7340"/>
    <w:rsid w:val="007D1D26"/>
    <w:rsid w:val="007D7AA1"/>
    <w:rsid w:val="007E58E3"/>
    <w:rsid w:val="00817556"/>
    <w:rsid w:val="008217FF"/>
    <w:rsid w:val="00822B00"/>
    <w:rsid w:val="00824086"/>
    <w:rsid w:val="00826FF1"/>
    <w:rsid w:val="0083612C"/>
    <w:rsid w:val="00844A1A"/>
    <w:rsid w:val="00855A7C"/>
    <w:rsid w:val="00856DD4"/>
    <w:rsid w:val="00874942"/>
    <w:rsid w:val="00881806"/>
    <w:rsid w:val="00891809"/>
    <w:rsid w:val="00894E3A"/>
    <w:rsid w:val="008A0B47"/>
    <w:rsid w:val="008A35D0"/>
    <w:rsid w:val="008B1A2E"/>
    <w:rsid w:val="008C7136"/>
    <w:rsid w:val="008C7713"/>
    <w:rsid w:val="008D3CAE"/>
    <w:rsid w:val="008E5087"/>
    <w:rsid w:val="008E7975"/>
    <w:rsid w:val="008F1B08"/>
    <w:rsid w:val="00912A13"/>
    <w:rsid w:val="009311C6"/>
    <w:rsid w:val="009446E2"/>
    <w:rsid w:val="009570E6"/>
    <w:rsid w:val="009676CB"/>
    <w:rsid w:val="0097438F"/>
    <w:rsid w:val="0097603D"/>
    <w:rsid w:val="00976F3D"/>
    <w:rsid w:val="009811C6"/>
    <w:rsid w:val="00982F65"/>
    <w:rsid w:val="00983677"/>
    <w:rsid w:val="009915E0"/>
    <w:rsid w:val="00992F67"/>
    <w:rsid w:val="009C2470"/>
    <w:rsid w:val="009C45D5"/>
    <w:rsid w:val="009D6AD4"/>
    <w:rsid w:val="00A026FC"/>
    <w:rsid w:val="00A03108"/>
    <w:rsid w:val="00A07ABC"/>
    <w:rsid w:val="00A225EE"/>
    <w:rsid w:val="00A327E1"/>
    <w:rsid w:val="00A36AEE"/>
    <w:rsid w:val="00A42801"/>
    <w:rsid w:val="00A44A78"/>
    <w:rsid w:val="00A57709"/>
    <w:rsid w:val="00A61C4E"/>
    <w:rsid w:val="00A8643E"/>
    <w:rsid w:val="00A956D8"/>
    <w:rsid w:val="00AA2FA4"/>
    <w:rsid w:val="00AB043C"/>
    <w:rsid w:val="00AC43C5"/>
    <w:rsid w:val="00AC51A7"/>
    <w:rsid w:val="00AD368C"/>
    <w:rsid w:val="00AD4C35"/>
    <w:rsid w:val="00AE0C7D"/>
    <w:rsid w:val="00AE118D"/>
    <w:rsid w:val="00AE7657"/>
    <w:rsid w:val="00AE7E1E"/>
    <w:rsid w:val="00AF3896"/>
    <w:rsid w:val="00B0232A"/>
    <w:rsid w:val="00B06BB1"/>
    <w:rsid w:val="00B13132"/>
    <w:rsid w:val="00B16CEF"/>
    <w:rsid w:val="00B17F19"/>
    <w:rsid w:val="00B2177B"/>
    <w:rsid w:val="00B2525B"/>
    <w:rsid w:val="00B358A4"/>
    <w:rsid w:val="00B36421"/>
    <w:rsid w:val="00B463D5"/>
    <w:rsid w:val="00B4745C"/>
    <w:rsid w:val="00B6697E"/>
    <w:rsid w:val="00B72AA4"/>
    <w:rsid w:val="00B829BD"/>
    <w:rsid w:val="00B94D71"/>
    <w:rsid w:val="00BA60BC"/>
    <w:rsid w:val="00BB0620"/>
    <w:rsid w:val="00BB50DA"/>
    <w:rsid w:val="00BB7FDD"/>
    <w:rsid w:val="00BC0BF3"/>
    <w:rsid w:val="00BC1CEE"/>
    <w:rsid w:val="00BC2803"/>
    <w:rsid w:val="00BC3174"/>
    <w:rsid w:val="00BD1AE4"/>
    <w:rsid w:val="00BD33BB"/>
    <w:rsid w:val="00BD4191"/>
    <w:rsid w:val="00BD6D91"/>
    <w:rsid w:val="00BE3579"/>
    <w:rsid w:val="00BE5BA1"/>
    <w:rsid w:val="00BF3678"/>
    <w:rsid w:val="00C14977"/>
    <w:rsid w:val="00C1618F"/>
    <w:rsid w:val="00C20CA3"/>
    <w:rsid w:val="00C220DC"/>
    <w:rsid w:val="00C23E45"/>
    <w:rsid w:val="00C313F0"/>
    <w:rsid w:val="00C33444"/>
    <w:rsid w:val="00C345DB"/>
    <w:rsid w:val="00C53D7F"/>
    <w:rsid w:val="00C541BC"/>
    <w:rsid w:val="00C55E23"/>
    <w:rsid w:val="00C940E5"/>
    <w:rsid w:val="00CB5FFC"/>
    <w:rsid w:val="00CB600F"/>
    <w:rsid w:val="00CB645A"/>
    <w:rsid w:val="00CB6EC1"/>
    <w:rsid w:val="00CD3ABB"/>
    <w:rsid w:val="00CD3C2B"/>
    <w:rsid w:val="00CE06DA"/>
    <w:rsid w:val="00CE2B1F"/>
    <w:rsid w:val="00CF344B"/>
    <w:rsid w:val="00CF5F2A"/>
    <w:rsid w:val="00D010A7"/>
    <w:rsid w:val="00D01701"/>
    <w:rsid w:val="00D02780"/>
    <w:rsid w:val="00D07E48"/>
    <w:rsid w:val="00D22147"/>
    <w:rsid w:val="00D33F6D"/>
    <w:rsid w:val="00D46780"/>
    <w:rsid w:val="00D4691C"/>
    <w:rsid w:val="00D53B8C"/>
    <w:rsid w:val="00D613A3"/>
    <w:rsid w:val="00D62C67"/>
    <w:rsid w:val="00D64ADC"/>
    <w:rsid w:val="00D76E2C"/>
    <w:rsid w:val="00D8428D"/>
    <w:rsid w:val="00D93860"/>
    <w:rsid w:val="00DA0182"/>
    <w:rsid w:val="00DA7A08"/>
    <w:rsid w:val="00DB13AC"/>
    <w:rsid w:val="00DB3747"/>
    <w:rsid w:val="00DC7166"/>
    <w:rsid w:val="00DD18EF"/>
    <w:rsid w:val="00DD3811"/>
    <w:rsid w:val="00DE0829"/>
    <w:rsid w:val="00DE345A"/>
    <w:rsid w:val="00DE702E"/>
    <w:rsid w:val="00DF2802"/>
    <w:rsid w:val="00E01E65"/>
    <w:rsid w:val="00E045DC"/>
    <w:rsid w:val="00E110FC"/>
    <w:rsid w:val="00E22D74"/>
    <w:rsid w:val="00E3129D"/>
    <w:rsid w:val="00E3616E"/>
    <w:rsid w:val="00E36932"/>
    <w:rsid w:val="00E40074"/>
    <w:rsid w:val="00E40250"/>
    <w:rsid w:val="00E40AF1"/>
    <w:rsid w:val="00E5642A"/>
    <w:rsid w:val="00E619A2"/>
    <w:rsid w:val="00E637E5"/>
    <w:rsid w:val="00E8708C"/>
    <w:rsid w:val="00E87777"/>
    <w:rsid w:val="00EA3194"/>
    <w:rsid w:val="00EC0573"/>
    <w:rsid w:val="00EC36C0"/>
    <w:rsid w:val="00EC4880"/>
    <w:rsid w:val="00ED0CE2"/>
    <w:rsid w:val="00ED1C09"/>
    <w:rsid w:val="00ED1DCA"/>
    <w:rsid w:val="00ED4523"/>
    <w:rsid w:val="00ED64D7"/>
    <w:rsid w:val="00ED7C82"/>
    <w:rsid w:val="00EE0A08"/>
    <w:rsid w:val="00F03067"/>
    <w:rsid w:val="00F14C36"/>
    <w:rsid w:val="00F155F3"/>
    <w:rsid w:val="00F25F77"/>
    <w:rsid w:val="00F40101"/>
    <w:rsid w:val="00F5050D"/>
    <w:rsid w:val="00F552B3"/>
    <w:rsid w:val="00F632C3"/>
    <w:rsid w:val="00F66660"/>
    <w:rsid w:val="00F740CF"/>
    <w:rsid w:val="00F74E22"/>
    <w:rsid w:val="00F75D9D"/>
    <w:rsid w:val="00F82798"/>
    <w:rsid w:val="00F82EEB"/>
    <w:rsid w:val="00F9307F"/>
    <w:rsid w:val="00F93A2B"/>
    <w:rsid w:val="00FA509F"/>
    <w:rsid w:val="00FA7731"/>
    <w:rsid w:val="00FC08A8"/>
    <w:rsid w:val="00FC2244"/>
    <w:rsid w:val="00FC7D4F"/>
    <w:rsid w:val="00FE299A"/>
    <w:rsid w:val="00FE39D7"/>
    <w:rsid w:val="00FF562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666C2"/>
  <w15:docId w15:val="{5600C95F-8D8F-4D8F-9587-EE24DE1A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customStyle="1" w:styleId="NormalEvalua">
    <w:name w:val="Normal Evalua"/>
    <w:basedOn w:val="Normal"/>
    <w:qFormat/>
    <w:rsid w:val="00453294"/>
    <w:pPr>
      <w:spacing w:after="200" w:line="276" w:lineRule="auto"/>
      <w:jc w:val="both"/>
    </w:pPr>
    <w:rPr>
      <w:rFonts w:ascii="Source Sans Pro Regular" w:eastAsia="Times New Roman" w:hAnsi="Source Sans Pro Regular" w:cs="Times New Roman"/>
      <w:color w:val="898D8D"/>
      <w:sz w:val="22"/>
      <w:szCs w:val="22"/>
    </w:rPr>
  </w:style>
  <w:style w:type="character" w:styleId="Hyperlink">
    <w:name w:val="Hyperlink"/>
    <w:basedOn w:val="DefaultParagraphFont"/>
    <w:uiPriority w:val="99"/>
    <w:semiHidden/>
    <w:unhideWhenUsed/>
    <w:rsid w:val="00BD1AE4"/>
    <w:rPr>
      <w:color w:val="0000FF"/>
      <w:u w:val="single"/>
    </w:rPr>
  </w:style>
  <w:style w:type="paragraph" w:styleId="Header">
    <w:name w:val="header"/>
    <w:basedOn w:val="Normal"/>
    <w:link w:val="HeaderChar"/>
    <w:uiPriority w:val="99"/>
    <w:unhideWhenUsed/>
    <w:rsid w:val="008A35D0"/>
    <w:pPr>
      <w:tabs>
        <w:tab w:val="center" w:pos="4252"/>
        <w:tab w:val="right" w:pos="8504"/>
      </w:tabs>
    </w:pPr>
  </w:style>
  <w:style w:type="character" w:customStyle="1" w:styleId="HeaderChar">
    <w:name w:val="Header Char"/>
    <w:basedOn w:val="DefaultParagraphFont"/>
    <w:link w:val="Header"/>
    <w:uiPriority w:val="99"/>
    <w:rsid w:val="008A35D0"/>
  </w:style>
  <w:style w:type="paragraph" w:styleId="Footer">
    <w:name w:val="footer"/>
    <w:basedOn w:val="Normal"/>
    <w:link w:val="FooterChar"/>
    <w:uiPriority w:val="99"/>
    <w:unhideWhenUsed/>
    <w:rsid w:val="008A35D0"/>
    <w:pPr>
      <w:tabs>
        <w:tab w:val="center" w:pos="4252"/>
        <w:tab w:val="right" w:pos="8504"/>
      </w:tabs>
    </w:pPr>
  </w:style>
  <w:style w:type="character" w:customStyle="1" w:styleId="FooterChar">
    <w:name w:val="Footer Char"/>
    <w:basedOn w:val="DefaultParagraphFont"/>
    <w:link w:val="Footer"/>
    <w:uiPriority w:val="99"/>
    <w:rsid w:val="008A35D0"/>
  </w:style>
  <w:style w:type="character" w:styleId="PageNumber">
    <w:name w:val="page number"/>
    <w:basedOn w:val="DefaultParagraphFont"/>
    <w:uiPriority w:val="99"/>
    <w:semiHidden/>
    <w:unhideWhenUsed/>
    <w:rsid w:val="00A07ABC"/>
  </w:style>
  <w:style w:type="paragraph" w:styleId="BalloonText">
    <w:name w:val="Balloon Text"/>
    <w:basedOn w:val="Normal"/>
    <w:link w:val="BalloonTextChar"/>
    <w:uiPriority w:val="99"/>
    <w:semiHidden/>
    <w:unhideWhenUsed/>
    <w:rsid w:val="00F15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15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6013</Words>
  <Characters>34278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diana alarcon</cp:lastModifiedBy>
  <cp:revision>2</cp:revision>
  <dcterms:created xsi:type="dcterms:W3CDTF">2020-08-07T22:34:00Z</dcterms:created>
  <dcterms:modified xsi:type="dcterms:W3CDTF">2020-08-07T22:34:00Z</dcterms:modified>
</cp:coreProperties>
</file>