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8A" w:rsidRDefault="00174E8A">
      <w:pPr>
        <w:widowControl/>
        <w:spacing w:after="0" w:line="240" w:lineRule="auto"/>
        <w:jc w:val="center"/>
        <w:rPr>
          <w:lang w:val="en-US"/>
        </w:rPr>
      </w:pPr>
      <w:bookmarkStart w:id="0" w:name="_GoBack"/>
      <w:bookmarkEnd w:id="0"/>
    </w:p>
    <w:p w:rsidR="00174E8A" w:rsidRDefault="00F23D25">
      <w:pPr>
        <w:pStyle w:val="Heading1"/>
        <w:widowControl/>
        <w:spacing w:before="0"/>
        <w:jc w:val="center"/>
      </w:pPr>
      <w:r>
        <w:t>Ciudad de México</w:t>
      </w:r>
    </w:p>
    <w:p w:rsidR="00174E8A" w:rsidRDefault="00F23D25">
      <w:pPr>
        <w:pStyle w:val="Heading1"/>
        <w:widowControl/>
        <w:spacing w:before="0"/>
        <w:jc w:val="center"/>
      </w:pPr>
      <w:r>
        <w:rPr>
          <w:bCs w:val="0"/>
          <w:szCs w:val="24"/>
        </w:rPr>
        <w:t>Plan de desarrollo 20 años</w:t>
      </w:r>
    </w:p>
    <w:p w:rsidR="00174E8A" w:rsidRDefault="00F23D25">
      <w:pPr>
        <w:pStyle w:val="Heading2"/>
        <w:widowControl/>
        <w:spacing w:before="0"/>
        <w:jc w:val="center"/>
      </w:pPr>
      <w:r>
        <w:rPr>
          <w:bCs w:val="0"/>
          <w:szCs w:val="24"/>
        </w:rPr>
        <w:t>Estudios para informar la elaboración del plan</w:t>
      </w:r>
    </w:p>
    <w:p w:rsidR="00174E8A" w:rsidRDefault="00174E8A">
      <w:pPr>
        <w:rPr>
          <w:sz w:val="28"/>
          <w:szCs w:val="28"/>
        </w:rPr>
      </w:pPr>
    </w:p>
    <w:p w:rsidR="00174E8A" w:rsidRDefault="00F23D25">
      <w:pPr>
        <w:pStyle w:val="Heading2"/>
        <w:widowControl/>
        <w:spacing w:before="0"/>
      </w:pPr>
      <w:r>
        <w:rPr>
          <w:bCs w:val="0"/>
          <w:szCs w:val="24"/>
        </w:rPr>
        <w:t>Producción, ocupación e ingreso</w:t>
      </w:r>
    </w:p>
    <w:p w:rsidR="00174E8A" w:rsidRDefault="00F23D25">
      <w:pPr>
        <w:spacing w:after="0" w:line="240" w:lineRule="auto"/>
      </w:pPr>
      <w:r>
        <w:rPr>
          <w:szCs w:val="24"/>
        </w:rPr>
        <w:t xml:space="preserve">Estudio comisionado por </w:t>
      </w:r>
      <w:proofErr w:type="spellStart"/>
      <w:r>
        <w:rPr>
          <w:szCs w:val="24"/>
        </w:rPr>
        <w:t>StyFE</w:t>
      </w:r>
      <w:proofErr w:type="spellEnd"/>
      <w:r>
        <w:rPr>
          <w:szCs w:val="24"/>
        </w:rPr>
        <w:t xml:space="preserve"> y coordinado conjuntamente con la CGAAI</w:t>
      </w:r>
    </w:p>
    <w:p w:rsidR="00174E8A" w:rsidRDefault="00F23D25">
      <w:pPr>
        <w:spacing w:after="0" w:line="240" w:lineRule="auto"/>
      </w:pPr>
      <w:r>
        <w:t>Entregado 22 de marzo 2020.</w:t>
      </w:r>
    </w:p>
    <w:p w:rsidR="00174E8A" w:rsidRDefault="00F23D25">
      <w:pPr>
        <w:spacing w:after="0" w:line="240" w:lineRule="auto"/>
      </w:pPr>
      <w:r>
        <w:t xml:space="preserve">Realizado por la Facultad de Estudios Superiores, Acatlán y Facultad de Economía, UNAM. </w:t>
      </w:r>
    </w:p>
    <w:p w:rsidR="00174E8A" w:rsidRDefault="00174E8A">
      <w:pPr>
        <w:spacing w:after="0" w:line="240" w:lineRule="auto"/>
      </w:pPr>
    </w:p>
    <w:p w:rsidR="00174E8A" w:rsidRDefault="00F23D25">
      <w:pPr>
        <w:spacing w:after="0" w:line="240" w:lineRule="auto"/>
      </w:pPr>
      <w:r>
        <w:t>El estudio se compone de tres partes:</w:t>
      </w:r>
    </w:p>
    <w:p w:rsidR="00174E8A" w:rsidRDefault="00F23D25">
      <w:pPr>
        <w:numPr>
          <w:ilvl w:val="0"/>
          <w:numId w:val="1"/>
        </w:numPr>
        <w:spacing w:after="0" w:line="240" w:lineRule="auto"/>
      </w:pPr>
      <w:r>
        <w:t>Análisis de la estructura y tendencias de la ocupación e ingresos laborales en CDMX.</w:t>
      </w:r>
    </w:p>
    <w:p w:rsidR="00174E8A" w:rsidRDefault="00F23D25">
      <w:pPr>
        <w:numPr>
          <w:ilvl w:val="1"/>
          <w:numId w:val="1"/>
        </w:numPr>
        <w:spacing w:after="0" w:line="240" w:lineRule="auto"/>
      </w:pPr>
      <w:r>
        <w:t>Datos ENOE 2005 a 2019.</w:t>
      </w:r>
    </w:p>
    <w:p w:rsidR="00174E8A" w:rsidRDefault="00F23D25">
      <w:pPr>
        <w:numPr>
          <w:ilvl w:val="1"/>
          <w:numId w:val="1"/>
        </w:numPr>
        <w:spacing w:after="0" w:line="240" w:lineRule="auto"/>
      </w:pPr>
      <w:r>
        <w:t>CDMX y sus alcaldías, según el tema.</w:t>
      </w:r>
    </w:p>
    <w:p w:rsidR="00174E8A" w:rsidRDefault="00F23D25">
      <w:pPr>
        <w:numPr>
          <w:ilvl w:val="0"/>
          <w:numId w:val="1"/>
        </w:numPr>
        <w:spacing w:after="0" w:line="240" w:lineRule="auto"/>
      </w:pPr>
      <w:r>
        <w:t>Producción, empleo y capital en la manufactura, comercio y servicios de CDMX y ZMCM</w:t>
      </w:r>
    </w:p>
    <w:p w:rsidR="00174E8A" w:rsidRDefault="00F23D25">
      <w:pPr>
        <w:numPr>
          <w:ilvl w:val="1"/>
          <w:numId w:val="1"/>
        </w:numPr>
        <w:spacing w:after="0" w:line="240" w:lineRule="auto"/>
      </w:pPr>
      <w:r>
        <w:t>Datos censos económicos 2003, 2008 y 2013.</w:t>
      </w:r>
    </w:p>
    <w:p w:rsidR="00174E8A" w:rsidRDefault="00F23D25">
      <w:pPr>
        <w:numPr>
          <w:ilvl w:val="1"/>
          <w:numId w:val="1"/>
        </w:numPr>
        <w:spacing w:after="0" w:line="240" w:lineRule="auto"/>
      </w:pPr>
      <w:r>
        <w:t>CDMX y sus alcaldías, y municipios conurbados.</w:t>
      </w:r>
    </w:p>
    <w:p w:rsidR="00174E8A" w:rsidRDefault="00F23D25">
      <w:pPr>
        <w:numPr>
          <w:ilvl w:val="0"/>
          <w:numId w:val="1"/>
        </w:numPr>
        <w:spacing w:after="0" w:line="240" w:lineRule="auto"/>
      </w:pPr>
      <w:r>
        <w:t>Modelo econométrico-espacial del crecimiento en CDMX y ZMCM</w:t>
      </w:r>
    </w:p>
    <w:p w:rsidR="00174E8A" w:rsidRDefault="00F23D25">
      <w:pPr>
        <w:numPr>
          <w:ilvl w:val="1"/>
          <w:numId w:val="1"/>
        </w:numPr>
        <w:spacing w:after="0" w:line="240" w:lineRule="auto"/>
      </w:pPr>
      <w:r>
        <w:t>Modelo prospectivo, econométrico-espacial, del crecimiento económico de CDMX y de ZMCM</w:t>
      </w:r>
    </w:p>
    <w:p w:rsidR="00174E8A" w:rsidRDefault="00F23D25">
      <w:pPr>
        <w:numPr>
          <w:ilvl w:val="1"/>
          <w:numId w:val="1"/>
        </w:numPr>
        <w:spacing w:after="0" w:line="240" w:lineRule="auto"/>
      </w:pPr>
      <w:r>
        <w:t>Modelo econométrico-espacial de escenarios de inversión en actividades selectas.</w:t>
      </w:r>
    </w:p>
    <w:p w:rsidR="00174E8A" w:rsidRDefault="00174E8A">
      <w:pPr>
        <w:spacing w:after="0" w:line="240" w:lineRule="auto"/>
        <w:rPr>
          <w:szCs w:val="24"/>
        </w:rPr>
      </w:pPr>
    </w:p>
    <w:p w:rsidR="00174E8A" w:rsidRDefault="00F23D25">
      <w:pPr>
        <w:spacing w:after="0" w:line="240" w:lineRule="auto"/>
      </w:pPr>
      <w:r>
        <w:rPr>
          <w:b/>
          <w:color w:val="4F81BD"/>
          <w:sz w:val="26"/>
          <w:szCs w:val="24"/>
        </w:rPr>
        <w:t>Ingreso al trabajo, pobreza y equidad en la Ciudad de México y la ZMCM</w:t>
      </w:r>
    </w:p>
    <w:p w:rsidR="00174E8A" w:rsidRDefault="00F23D25">
      <w:pPr>
        <w:spacing w:after="0" w:line="240" w:lineRule="auto"/>
      </w:pPr>
      <w:r>
        <w:rPr>
          <w:szCs w:val="24"/>
        </w:rPr>
        <w:t>Estudio comisionado por CEPAL-México y coordinado conjuntamente con la CGAAI.</w:t>
      </w:r>
    </w:p>
    <w:p w:rsidR="00174E8A" w:rsidRDefault="00F23D25">
      <w:pPr>
        <w:spacing w:after="0" w:line="240" w:lineRule="auto"/>
      </w:pPr>
      <w:r>
        <w:t>Entregado julio 2020</w:t>
      </w:r>
    </w:p>
    <w:p w:rsidR="00174E8A" w:rsidRDefault="00F23D25">
      <w:pPr>
        <w:spacing w:after="0" w:line="240" w:lineRule="auto"/>
      </w:pPr>
      <w:r>
        <w:rPr>
          <w:szCs w:val="24"/>
        </w:rPr>
        <w:t>Realizado por el Programa Universitario de Estudios del Desarrollo, UNAM.</w:t>
      </w:r>
    </w:p>
    <w:p w:rsidR="00174E8A" w:rsidRDefault="00F23D25">
      <w:pPr>
        <w:spacing w:after="0" w:line="240" w:lineRule="auto"/>
      </w:pPr>
      <w:r>
        <w:rPr>
          <w:szCs w:val="24"/>
        </w:rPr>
        <w:t>El estudio analiza los ingresos al trabajo entre 2008 y 2018 usando la ENIGH. Muestra las tendencias en la distribución del ingreso laboral siguiendo diferentes metodologías de cálculo. El estudio identifica aglomerados de municipios y alcaldías en donde los ingresos laborales apuntan semejanzas, ya sea por monto de ingreso o por su desigualdad, o diferencias. PDF</w:t>
      </w:r>
    </w:p>
    <w:p w:rsidR="00174E8A" w:rsidRDefault="00174E8A">
      <w:pPr>
        <w:spacing w:after="0" w:line="240" w:lineRule="auto"/>
        <w:rPr>
          <w:szCs w:val="24"/>
        </w:rPr>
      </w:pPr>
    </w:p>
    <w:p w:rsidR="00174E8A" w:rsidRDefault="00F23D25">
      <w:pPr>
        <w:spacing w:after="0" w:line="240" w:lineRule="auto"/>
      </w:pPr>
      <w:r>
        <w:rPr>
          <w:b/>
          <w:color w:val="4F81BD"/>
          <w:sz w:val="26"/>
          <w:szCs w:val="24"/>
        </w:rPr>
        <w:t>La vocación productiva de la Ciudad de México y la ZMCM</w:t>
      </w:r>
    </w:p>
    <w:p w:rsidR="00174E8A" w:rsidRDefault="00F23D25">
      <w:pPr>
        <w:spacing w:after="0" w:line="240" w:lineRule="auto"/>
      </w:pPr>
      <w:r>
        <w:rPr>
          <w:szCs w:val="24"/>
        </w:rPr>
        <w:t>Estudio comisionado por CEPAL-México y coordinado conjuntamente con la CGAAI.</w:t>
      </w:r>
    </w:p>
    <w:p w:rsidR="00174E8A" w:rsidRDefault="00F23D25">
      <w:pPr>
        <w:spacing w:after="0" w:line="240" w:lineRule="auto"/>
      </w:pPr>
      <w:r>
        <w:t>Entregado julio 2020</w:t>
      </w:r>
    </w:p>
    <w:p w:rsidR="00174E8A" w:rsidRDefault="00F23D25">
      <w:pPr>
        <w:spacing w:after="0" w:line="240" w:lineRule="auto"/>
      </w:pPr>
      <w:r>
        <w:rPr>
          <w:szCs w:val="24"/>
        </w:rPr>
        <w:t>Realizado por el Centro de estudios demográficos, urbanos y ambientales, El Colegio de México.</w:t>
      </w:r>
    </w:p>
    <w:p w:rsidR="00174E8A" w:rsidRDefault="00F23D25">
      <w:pPr>
        <w:spacing w:after="0" w:line="240" w:lineRule="auto"/>
      </w:pPr>
      <w:r>
        <w:rPr>
          <w:szCs w:val="24"/>
        </w:rPr>
        <w:t xml:space="preserve">El estudio analiza el número de establecimientos, empleo y valor agregado de las actividades económicas consignados en censos económicos desde que éstos se han elaborado. Su enfoque geográfico es la Ciudad de México y la ZMCM, con énfasis en los servicios. Con técnicas de aglomeración identifica polos con potencial de desarrollo en distintas zonas de la ciudad. </w:t>
      </w:r>
    </w:p>
    <w:p w:rsidR="00174E8A" w:rsidRDefault="00174E8A">
      <w:pPr>
        <w:spacing w:after="0" w:line="240" w:lineRule="auto"/>
        <w:rPr>
          <w:szCs w:val="24"/>
        </w:rPr>
      </w:pPr>
    </w:p>
    <w:p w:rsidR="00174E8A" w:rsidRDefault="00F23D25">
      <w:pPr>
        <w:pStyle w:val="Heading2"/>
        <w:widowControl/>
        <w:spacing w:before="0"/>
      </w:pPr>
      <w:r>
        <w:rPr>
          <w:bCs w:val="0"/>
          <w:szCs w:val="24"/>
        </w:rPr>
        <w:t>Matriz insumo-producto</w:t>
      </w:r>
    </w:p>
    <w:p w:rsidR="00174E8A" w:rsidRDefault="00F23D25">
      <w:pPr>
        <w:spacing w:after="0" w:line="240" w:lineRule="auto"/>
      </w:pPr>
      <w:r>
        <w:t>Estudio coordinado por CGAAI.</w:t>
      </w:r>
    </w:p>
    <w:p w:rsidR="00174E8A" w:rsidRDefault="00F23D25">
      <w:pPr>
        <w:spacing w:after="0" w:line="240" w:lineRule="auto"/>
      </w:pPr>
      <w:r>
        <w:t>Entregado versión precios básicos.</w:t>
      </w:r>
    </w:p>
    <w:p w:rsidR="00174E8A" w:rsidRDefault="00F23D25">
      <w:pPr>
        <w:spacing w:after="0" w:line="240" w:lineRule="auto"/>
      </w:pPr>
      <w:r>
        <w:t>Entrega versión precios comprador 30 julio 2020.</w:t>
      </w:r>
    </w:p>
    <w:p w:rsidR="00174E8A" w:rsidRDefault="00F23D25">
      <w:pPr>
        <w:spacing w:after="0" w:line="240" w:lineRule="auto"/>
      </w:pPr>
      <w:r>
        <w:t>Realizado por Centro de estudios del desarrollo regional y urbano sustentable, Facultad de Economía, UNAM.</w:t>
      </w:r>
    </w:p>
    <w:p w:rsidR="00174E8A" w:rsidRDefault="00F23D25">
      <w:pPr>
        <w:spacing w:after="0" w:line="240" w:lineRule="auto"/>
      </w:pPr>
      <w:r>
        <w:t>Financiamiento: PNUD-México.</w:t>
      </w:r>
    </w:p>
    <w:p w:rsidR="00174E8A" w:rsidRDefault="00F23D25">
      <w:pPr>
        <w:spacing w:after="0" w:line="240" w:lineRule="auto"/>
      </w:pPr>
      <w:r>
        <w:t xml:space="preserve">El estudio construye matrices de insumo producto para las entidades del centro del país, detalladas a 206 ramas de actividad mediante el método de regionalización de cuentas de oferta y utilización, es decir de “abajo-hacia-arriba”. </w:t>
      </w:r>
    </w:p>
    <w:p w:rsidR="00174E8A" w:rsidRDefault="00174E8A">
      <w:pPr>
        <w:pStyle w:val="Heading2"/>
        <w:widowControl/>
        <w:spacing w:before="0"/>
        <w:rPr>
          <w:bCs w:val="0"/>
          <w:szCs w:val="24"/>
        </w:rPr>
      </w:pPr>
    </w:p>
    <w:p w:rsidR="00174E8A" w:rsidRDefault="00F23D25">
      <w:pPr>
        <w:pStyle w:val="Heading2"/>
        <w:widowControl/>
        <w:spacing w:before="0"/>
      </w:pPr>
      <w:r>
        <w:rPr>
          <w:bCs w:val="0"/>
          <w:szCs w:val="24"/>
        </w:rPr>
        <w:t>Cuentas de oferta y utilización y matrices de insumo-producto regionales</w:t>
      </w:r>
    </w:p>
    <w:p w:rsidR="00174E8A" w:rsidRDefault="00F23D25">
      <w:pPr>
        <w:spacing w:after="0" w:line="240" w:lineRule="auto"/>
      </w:pPr>
      <w:r>
        <w:t>Estudio coordinado por CGAAI.</w:t>
      </w:r>
    </w:p>
    <w:p w:rsidR="00174E8A" w:rsidRDefault="00F23D25">
      <w:pPr>
        <w:spacing w:after="0" w:line="240" w:lineRule="auto"/>
      </w:pPr>
      <w:r>
        <w:t>Entregado versión precios básicos.</w:t>
      </w:r>
    </w:p>
    <w:p w:rsidR="00174E8A" w:rsidRDefault="00F23D25">
      <w:pPr>
        <w:spacing w:after="0" w:line="240" w:lineRule="auto"/>
      </w:pPr>
      <w:r>
        <w:t>Entrega versión precios comprador 30 julio 2020.</w:t>
      </w:r>
    </w:p>
    <w:p w:rsidR="00174E8A" w:rsidRDefault="00F23D25">
      <w:pPr>
        <w:spacing w:after="0" w:line="240" w:lineRule="auto"/>
      </w:pPr>
      <w:r>
        <w:t>Realizado por Centro de estudios del desarrollo regional y urbano sustentable, Facultad de Economía, UNAM.</w:t>
      </w:r>
    </w:p>
    <w:p w:rsidR="00174E8A" w:rsidRDefault="00F23D25">
      <w:pPr>
        <w:spacing w:after="0" w:line="240" w:lineRule="auto"/>
      </w:pPr>
      <w:r>
        <w:t>Financiamiento: PNUD-México.</w:t>
      </w:r>
    </w:p>
    <w:p w:rsidR="00174E8A" w:rsidRDefault="00F23D25">
      <w:pPr>
        <w:spacing w:after="0" w:line="240" w:lineRule="auto"/>
      </w:pPr>
      <w:r>
        <w:t>El estudio construirá cuentas de oferta y utilización regionales mediante el uso de información administrativa para las entidades del centro del país con desagregación a 206 ramas de actividad. A partir de estas, el estudio construirá matrices de insumo producto para las entidades del centro del país, desagregadas a 206 ramas de actividad, e incluyendo flujos de comercio entre estas entidades, así como con el resto del país y resto del mundo.</w:t>
      </w:r>
    </w:p>
    <w:p w:rsidR="00174E8A" w:rsidRDefault="00174E8A">
      <w:pPr>
        <w:widowControl/>
        <w:spacing w:after="0" w:line="240" w:lineRule="auto"/>
        <w:rPr>
          <w:szCs w:val="24"/>
        </w:rPr>
      </w:pPr>
    </w:p>
    <w:p w:rsidR="00174E8A" w:rsidRDefault="00F23D25">
      <w:pPr>
        <w:pStyle w:val="Heading2"/>
        <w:widowControl/>
        <w:spacing w:before="0"/>
      </w:pPr>
      <w:r>
        <w:rPr>
          <w:bCs w:val="0"/>
          <w:szCs w:val="24"/>
        </w:rPr>
        <w:t>Modelo económico, computable e integrado de CDMX</w:t>
      </w:r>
    </w:p>
    <w:p w:rsidR="00174E8A" w:rsidRDefault="00F23D25">
      <w:pPr>
        <w:spacing w:after="0" w:line="240" w:lineRule="auto"/>
      </w:pPr>
      <w:r>
        <w:t>Estudio coordinado por CGAAI, en colaboración con ONU-DAES.</w:t>
      </w:r>
    </w:p>
    <w:p w:rsidR="00174E8A" w:rsidRDefault="00F23D25">
      <w:pPr>
        <w:spacing w:after="0" w:line="240" w:lineRule="auto"/>
      </w:pPr>
      <w:r>
        <w:t>El estudio es realizado por consultores de ONU-DAES</w:t>
      </w:r>
    </w:p>
    <w:p w:rsidR="00174E8A" w:rsidRDefault="00F23D25">
      <w:pPr>
        <w:spacing w:after="0" w:line="240" w:lineRule="auto"/>
      </w:pPr>
      <w:r>
        <w:t xml:space="preserve">Fecha de entrega: 30 de septiembre de 2020. </w:t>
      </w:r>
    </w:p>
    <w:p w:rsidR="00174E8A" w:rsidRDefault="00F23D25">
      <w:pPr>
        <w:spacing w:after="0" w:line="240" w:lineRule="auto"/>
      </w:pPr>
      <w:r>
        <w:t>El proyecto requiere las cuentas de oferta y utilización a precios básicos y precios de comprador ya terminadas.</w:t>
      </w:r>
    </w:p>
    <w:p w:rsidR="00174E8A" w:rsidRDefault="00174E8A">
      <w:pPr>
        <w:spacing w:after="0" w:line="240" w:lineRule="auto"/>
      </w:pPr>
    </w:p>
    <w:p w:rsidR="00174E8A" w:rsidRDefault="00F23D25">
      <w:pPr>
        <w:pStyle w:val="Heading2"/>
        <w:widowControl/>
        <w:spacing w:before="0"/>
      </w:pPr>
      <w:r>
        <w:rPr>
          <w:bCs w:val="0"/>
          <w:szCs w:val="24"/>
        </w:rPr>
        <w:t>Sistema agua</w:t>
      </w:r>
    </w:p>
    <w:p w:rsidR="00174E8A" w:rsidRDefault="00F23D25">
      <w:pPr>
        <w:spacing w:after="0" w:line="240" w:lineRule="auto"/>
      </w:pPr>
      <w:r>
        <w:t>Estudio coordinado por CGAAI, realizado a través de SECTEI, en colaboración con SACMEX, SEDEMA e INECC.</w:t>
      </w:r>
    </w:p>
    <w:p w:rsidR="00174E8A" w:rsidRDefault="00F23D25">
      <w:pPr>
        <w:spacing w:after="0" w:line="240" w:lineRule="auto"/>
      </w:pPr>
      <w:r>
        <w:t>Fecha entrega 30 de julio de 2020.</w:t>
      </w:r>
    </w:p>
    <w:p w:rsidR="00174E8A" w:rsidRDefault="00F23D25">
      <w:pPr>
        <w:spacing w:after="0" w:line="240" w:lineRule="auto"/>
      </w:pPr>
      <w:r>
        <w:t>Realizado por Instituto de Geología de la UNAM.</w:t>
      </w:r>
    </w:p>
    <w:p w:rsidR="00174E8A" w:rsidRDefault="00F23D25">
      <w:pPr>
        <w:spacing w:after="0" w:line="240" w:lineRule="auto"/>
      </w:pPr>
      <w:r>
        <w:t>Financiado por SECTEI y ONU-DAES.</w:t>
      </w:r>
    </w:p>
    <w:p w:rsidR="00174E8A" w:rsidRDefault="00F23D25">
      <w:pPr>
        <w:widowControl/>
        <w:spacing w:after="0" w:line="240" w:lineRule="auto"/>
      </w:pPr>
      <w:r>
        <w:rPr>
          <w:szCs w:val="24"/>
        </w:rPr>
        <w:t>El estudio considera las fuentes superficiales y subterráneas (acuíferos y manantiales) de las cuencas relevantes para la Ciudad de México en un horizonte a 20 años. Actualiza, completa, homogeniza modelos existentes y calcula balances hídricos para las cuencas que cuenten ya con un modelo.</w:t>
      </w:r>
    </w:p>
    <w:p w:rsidR="00174E8A" w:rsidRDefault="00174E8A">
      <w:pPr>
        <w:widowControl/>
        <w:spacing w:after="0" w:line="240" w:lineRule="auto"/>
        <w:rPr>
          <w:bCs/>
          <w:szCs w:val="24"/>
        </w:rPr>
      </w:pPr>
    </w:p>
    <w:p w:rsidR="00174E8A" w:rsidRDefault="00F23D25">
      <w:pPr>
        <w:pStyle w:val="Heading2"/>
        <w:widowControl/>
        <w:spacing w:before="0"/>
      </w:pPr>
      <w:r>
        <w:rPr>
          <w:bCs w:val="0"/>
          <w:szCs w:val="24"/>
        </w:rPr>
        <w:t>Sistema energía</w:t>
      </w:r>
    </w:p>
    <w:p w:rsidR="00174E8A" w:rsidRDefault="00F23D25">
      <w:pPr>
        <w:spacing w:after="0" w:line="240" w:lineRule="auto"/>
      </w:pPr>
      <w:r>
        <w:t>Estudio coordinado por CGAAI, en colaboración con SEDEMA, SEDECO INECC.</w:t>
      </w:r>
    </w:p>
    <w:p w:rsidR="00174E8A" w:rsidRDefault="00F23D25">
      <w:pPr>
        <w:spacing w:after="0" w:line="240" w:lineRule="auto"/>
      </w:pPr>
      <w:r>
        <w:t>Fecha de entrega: 30 de julio de 2020.</w:t>
      </w:r>
    </w:p>
    <w:p w:rsidR="00174E8A" w:rsidRDefault="00F23D25">
      <w:pPr>
        <w:spacing w:after="0" w:line="240" w:lineRule="auto"/>
      </w:pPr>
      <w:r>
        <w:t>Realizado por ONU-DAES</w:t>
      </w:r>
    </w:p>
    <w:p w:rsidR="00174E8A" w:rsidRDefault="00F23D25">
      <w:pPr>
        <w:widowControl/>
        <w:spacing w:after="0" w:line="240" w:lineRule="auto"/>
      </w:pPr>
      <w:r>
        <w:rPr>
          <w:szCs w:val="24"/>
        </w:rPr>
        <w:t xml:space="preserve">Modelización del sistema de energía de la Ciudad de México, interactuada con el sistema nacional de energía, bajo un enfoque de optimización. El estudio explora cambios en la matriz energética, cambios en la demanda por aumento de eficiencia energética, e impactos de diversas políticas de manejo de recursos (por ejemplo agua). </w:t>
      </w:r>
    </w:p>
    <w:p w:rsidR="00174E8A" w:rsidRDefault="00174E8A">
      <w:pPr>
        <w:pStyle w:val="Heading2"/>
        <w:widowControl/>
        <w:spacing w:before="0"/>
        <w:rPr>
          <w:bCs w:val="0"/>
          <w:szCs w:val="24"/>
        </w:rPr>
      </w:pPr>
    </w:p>
    <w:p w:rsidR="00174E8A" w:rsidRDefault="00F23D25">
      <w:pPr>
        <w:pStyle w:val="Heading2"/>
        <w:widowControl/>
        <w:spacing w:before="0"/>
      </w:pPr>
      <w:r>
        <w:rPr>
          <w:bCs w:val="0"/>
          <w:szCs w:val="24"/>
        </w:rPr>
        <w:t>Sistema uso agrícola de suelo</w:t>
      </w:r>
    </w:p>
    <w:p w:rsidR="00174E8A" w:rsidRDefault="00F23D25">
      <w:pPr>
        <w:spacing w:after="0" w:line="240" w:lineRule="auto"/>
      </w:pPr>
      <w:r>
        <w:t>Estudio coordinado por CGAAI, en colaboración con SEDEMA e INECC.</w:t>
      </w:r>
    </w:p>
    <w:p w:rsidR="00174E8A" w:rsidRDefault="00F23D25">
      <w:pPr>
        <w:spacing w:after="0" w:line="240" w:lineRule="auto"/>
      </w:pPr>
      <w:r>
        <w:t>El estudio es realizado por IIASA</w:t>
      </w:r>
    </w:p>
    <w:p w:rsidR="00174E8A" w:rsidRDefault="00F23D25">
      <w:pPr>
        <w:spacing w:after="0" w:line="240" w:lineRule="auto"/>
      </w:pPr>
      <w:r>
        <w:t>Fecha de entrega: 15 de agosto de 2020.</w:t>
      </w:r>
    </w:p>
    <w:p w:rsidR="00174E8A" w:rsidRDefault="00F23D25">
      <w:pPr>
        <w:widowControl/>
        <w:spacing w:after="0" w:line="240" w:lineRule="auto"/>
      </w:pPr>
      <w:r>
        <w:rPr>
          <w:szCs w:val="24"/>
        </w:rPr>
        <w:t>El modelo estima el efecto en el rendimiento de cultivos bajo escenarios diversos de inversión en irrigación, equipamiento agrícola y métodos sustentables, y bajo escenarios de cambio climático. El modelo utiliza la herramienta Zonas Agro-Económicas, desarrollado por la FAO y IIASA.</w:t>
      </w:r>
    </w:p>
    <w:p w:rsidR="00174E8A" w:rsidRDefault="00174E8A">
      <w:pPr>
        <w:pStyle w:val="Heading2"/>
        <w:widowControl/>
        <w:spacing w:before="0"/>
        <w:rPr>
          <w:bCs w:val="0"/>
          <w:szCs w:val="24"/>
        </w:rPr>
      </w:pPr>
    </w:p>
    <w:p w:rsidR="00174E8A" w:rsidRDefault="00F23D25">
      <w:pPr>
        <w:pStyle w:val="Heading2"/>
        <w:widowControl/>
        <w:spacing w:before="0"/>
      </w:pPr>
      <w:r>
        <w:rPr>
          <w:bCs w:val="0"/>
          <w:szCs w:val="24"/>
        </w:rPr>
        <w:t>Cambio Climático</w:t>
      </w:r>
    </w:p>
    <w:p w:rsidR="00174E8A" w:rsidRDefault="00F23D25">
      <w:pPr>
        <w:spacing w:after="0" w:line="240" w:lineRule="auto"/>
      </w:pPr>
      <w:r>
        <w:t>Estudio coordinado por CGAAI, en colaboración con ONU-DAES, SEDEMA e INECC.</w:t>
      </w:r>
    </w:p>
    <w:p w:rsidR="00174E8A" w:rsidRDefault="00F23D25">
      <w:pPr>
        <w:spacing w:after="0" w:line="240" w:lineRule="auto"/>
      </w:pPr>
      <w:r>
        <w:t>El estudio es realizado por IIASA</w:t>
      </w:r>
    </w:p>
    <w:p w:rsidR="00174E8A" w:rsidRDefault="00F23D25">
      <w:pPr>
        <w:spacing w:after="0" w:line="240" w:lineRule="auto"/>
      </w:pPr>
      <w:r>
        <w:t>Fecha de entrega: 15 de agosto de 2020.</w:t>
      </w:r>
    </w:p>
    <w:p w:rsidR="00174E8A" w:rsidRDefault="00F23D25">
      <w:pPr>
        <w:widowControl/>
        <w:spacing w:after="0" w:line="240" w:lineRule="auto"/>
      </w:pPr>
      <w:r>
        <w:rPr>
          <w:szCs w:val="24"/>
        </w:rPr>
        <w:lastRenderedPageBreak/>
        <w:t>El ejercicio consiste en reducir la escala de los modelos globales de cambio climático para ser utilizados en los modelos del sistema agua, sistema energía, sistema uso agrícola de suelo y modelo integrados de estos sistemas.</w:t>
      </w:r>
    </w:p>
    <w:p w:rsidR="00174E8A" w:rsidRDefault="00174E8A">
      <w:pPr>
        <w:pStyle w:val="Heading2"/>
        <w:widowControl/>
        <w:spacing w:before="0"/>
        <w:rPr>
          <w:bCs w:val="0"/>
          <w:szCs w:val="24"/>
        </w:rPr>
      </w:pPr>
    </w:p>
    <w:p w:rsidR="00174E8A" w:rsidRDefault="00F23D25">
      <w:pPr>
        <w:pStyle w:val="Heading2"/>
        <w:widowControl/>
        <w:spacing w:before="0"/>
      </w:pPr>
      <w:r>
        <w:rPr>
          <w:bCs w:val="0"/>
          <w:szCs w:val="24"/>
        </w:rPr>
        <w:t>Agua, uso de suelo, energía y clima</w:t>
      </w:r>
    </w:p>
    <w:p w:rsidR="00174E8A" w:rsidRDefault="00F23D25">
      <w:pPr>
        <w:spacing w:after="0" w:line="240" w:lineRule="auto"/>
      </w:pPr>
      <w:r>
        <w:t>Estudio coordinado por CGAAI, en colaboración con ONU-DAES, SEDEMA e INECC.</w:t>
      </w:r>
    </w:p>
    <w:p w:rsidR="00174E8A" w:rsidRDefault="00F23D25">
      <w:pPr>
        <w:spacing w:after="0" w:line="240" w:lineRule="auto"/>
      </w:pPr>
      <w:r>
        <w:t>El estudio es realizado por ONU-DAES</w:t>
      </w:r>
    </w:p>
    <w:p w:rsidR="00174E8A" w:rsidRDefault="00F23D25">
      <w:pPr>
        <w:spacing w:after="0" w:line="240" w:lineRule="auto"/>
      </w:pPr>
      <w:r>
        <w:t>Fecha de entrega: 30 de septiembre.</w:t>
      </w:r>
    </w:p>
    <w:p w:rsidR="00174E8A" w:rsidRDefault="00F23D25">
      <w:pPr>
        <w:widowControl/>
        <w:spacing w:after="0" w:line="240" w:lineRule="auto"/>
      </w:pPr>
      <w:r>
        <w:rPr>
          <w:szCs w:val="24"/>
        </w:rPr>
        <w:t>El estudio sintetiza e integra los modelos de sistemas agua, energía, uso agrícola de suelo e incorpora escenarios de cambio climático.</w:t>
      </w:r>
    </w:p>
    <w:p w:rsidR="00174E8A" w:rsidRDefault="00174E8A">
      <w:pPr>
        <w:widowControl/>
        <w:spacing w:after="0" w:line="240" w:lineRule="auto"/>
        <w:rPr>
          <w:szCs w:val="24"/>
        </w:rPr>
      </w:pPr>
    </w:p>
    <w:p w:rsidR="00174E8A" w:rsidRDefault="00F23D25">
      <w:pPr>
        <w:widowControl/>
        <w:spacing w:after="0" w:line="240" w:lineRule="auto"/>
      </w:pPr>
      <w:r>
        <w:rPr>
          <w:sz w:val="28"/>
          <w:szCs w:val="28"/>
        </w:rPr>
        <w:t xml:space="preserve">Estudios que solamente estarán listos a tiempo para informar debates y consultas y, posteriormente, la redacción del borrador </w:t>
      </w:r>
      <w:r>
        <w:rPr>
          <w:i/>
          <w:sz w:val="28"/>
          <w:szCs w:val="28"/>
        </w:rPr>
        <w:t>final</w:t>
      </w:r>
    </w:p>
    <w:p w:rsidR="00174E8A" w:rsidRDefault="00174E8A">
      <w:pPr>
        <w:widowControl/>
        <w:spacing w:after="0" w:line="240" w:lineRule="auto"/>
        <w:rPr>
          <w:szCs w:val="24"/>
        </w:rPr>
      </w:pPr>
    </w:p>
    <w:p w:rsidR="00174E8A" w:rsidRDefault="00F23D25">
      <w:pPr>
        <w:spacing w:after="0" w:line="240" w:lineRule="auto"/>
      </w:pPr>
      <w:r>
        <w:rPr>
          <w:b/>
          <w:color w:val="4F81BD"/>
          <w:sz w:val="26"/>
          <w:szCs w:val="24"/>
        </w:rPr>
        <w:t>Economía, industrialización y finanzas públicas de CDMX: visión mediano plazo</w:t>
      </w:r>
    </w:p>
    <w:p w:rsidR="00174E8A" w:rsidRDefault="00F23D25">
      <w:pPr>
        <w:spacing w:after="0" w:line="240" w:lineRule="auto"/>
      </w:pPr>
      <w:r>
        <w:t>Estudio coordinado por CGAAI, en colaboración con GIZ.</w:t>
      </w:r>
    </w:p>
    <w:p w:rsidR="00174E8A" w:rsidRDefault="00F23D25">
      <w:pPr>
        <w:spacing w:after="0" w:line="240" w:lineRule="auto"/>
      </w:pPr>
      <w:r>
        <w:t>El estudio será realizado por ENEP Acatlán y Facultad Economía UNAM</w:t>
      </w:r>
    </w:p>
    <w:p w:rsidR="00174E8A" w:rsidRDefault="00F23D25">
      <w:pPr>
        <w:spacing w:after="0" w:line="240" w:lineRule="auto"/>
      </w:pPr>
      <w:r>
        <w:t>Fecha de entrega: 30 de agosto.</w:t>
      </w:r>
    </w:p>
    <w:p w:rsidR="00174E8A" w:rsidRDefault="00F23D25">
      <w:pPr>
        <w:spacing w:after="0" w:line="240" w:lineRule="auto"/>
      </w:pPr>
      <w:r>
        <w:t>Financiamiento: GIZ México.</w:t>
      </w:r>
    </w:p>
    <w:p w:rsidR="00174E8A" w:rsidRDefault="00F23D25">
      <w:pPr>
        <w:spacing w:after="0" w:line="240" w:lineRule="auto"/>
      </w:pPr>
      <w:r>
        <w:t>El estudio analizará la estructura productiva y sus cambios bajo diversos escenarios usando modelos econométricos y de insumo-producto. Analizará también los ingresos públicos por tipo de fuente y explorará escenarios de gasto para impulsar el desarrollo de la ciudad.</w:t>
      </w:r>
    </w:p>
    <w:p w:rsidR="00174E8A" w:rsidRDefault="00174E8A">
      <w:pPr>
        <w:spacing w:after="0" w:line="240" w:lineRule="auto"/>
      </w:pPr>
    </w:p>
    <w:p w:rsidR="00174E8A" w:rsidRDefault="00F23D25">
      <w:pPr>
        <w:spacing w:after="0" w:line="240" w:lineRule="auto"/>
      </w:pPr>
      <w:r>
        <w:rPr>
          <w:b/>
          <w:color w:val="4F81BD"/>
          <w:sz w:val="26"/>
          <w:szCs w:val="24"/>
        </w:rPr>
        <w:t>La fiscalidad de CDMX ya entregado</w:t>
      </w:r>
      <w:r>
        <w:t xml:space="preserve"> </w:t>
      </w:r>
    </w:p>
    <w:p w:rsidR="00174E8A" w:rsidRDefault="00F23D25">
      <w:pPr>
        <w:spacing w:after="0" w:line="240" w:lineRule="auto"/>
      </w:pPr>
      <w:r>
        <w:t>Estudio coordinado por CGAAI y SAF, en colaboración con CEPAL Santiago.</w:t>
      </w:r>
    </w:p>
    <w:p w:rsidR="00174E8A" w:rsidRDefault="00F23D25">
      <w:pPr>
        <w:spacing w:after="0" w:line="240" w:lineRule="auto"/>
      </w:pPr>
      <w:r>
        <w:t>Fecha de entrega: Octubre 2019</w:t>
      </w:r>
    </w:p>
    <w:p w:rsidR="00174E8A" w:rsidRDefault="00F23D25">
      <w:pPr>
        <w:spacing w:after="0" w:line="240" w:lineRule="auto"/>
      </w:pPr>
      <w:r>
        <w:t>Financiamiento: CEPAL Santiago.</w:t>
      </w:r>
    </w:p>
    <w:p w:rsidR="00174E8A" w:rsidRDefault="00F23D25">
      <w:pPr>
        <w:spacing w:after="0" w:line="240" w:lineRule="auto"/>
      </w:pPr>
      <w:r>
        <w:t xml:space="preserve">El estudio reviso experiencias internacionales relevantes para la Ciudad de México para extraer lecciones e informar escenarios de optimización de los procesos y digitalización de la recaudación, incluyendo </w:t>
      </w:r>
      <w:proofErr w:type="gramStart"/>
      <w:r>
        <w:t>una</w:t>
      </w:r>
      <w:proofErr w:type="gramEnd"/>
      <w:r>
        <w:t xml:space="preserve"> análisis de la parte contenciosa, en la Ciudad de México.   </w:t>
      </w:r>
    </w:p>
    <w:p w:rsidR="00174E8A" w:rsidRDefault="00F23D25">
      <w:pPr>
        <w:pStyle w:val="Heading2"/>
        <w:widowControl/>
        <w:spacing w:before="0"/>
      </w:pPr>
      <w:r>
        <w:rPr>
          <w:b w:val="0"/>
          <w:bCs w:val="0"/>
          <w:sz w:val="22"/>
          <w:szCs w:val="24"/>
        </w:rPr>
        <w:t xml:space="preserve"> </w:t>
      </w:r>
    </w:p>
    <w:sectPr w:rsidR="00174E8A">
      <w:pgSz w:w="12240" w:h="15840"/>
      <w:pgMar w:top="1134" w:right="1417" w:bottom="1134" w:left="1417"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A5C3E"/>
    <w:multiLevelType w:val="multilevel"/>
    <w:tmpl w:val="25D22D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58C79CC"/>
    <w:multiLevelType w:val="multilevel"/>
    <w:tmpl w:val="C4626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hyphenationZone w:val="425"/>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8A"/>
    <w:rsid w:val="00174E8A"/>
    <w:rsid w:val="00D778EB"/>
    <w:rsid w:val="00F23D25"/>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Cs w:val="22"/>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200" w:line="276" w:lineRule="auto"/>
    </w:pPr>
    <w:rPr>
      <w:rFonts w:ascii="Times New Roman" w:hAnsi="Times New Roman"/>
      <w:sz w:val="22"/>
    </w:rPr>
  </w:style>
  <w:style w:type="paragraph" w:styleId="Heading1">
    <w:name w:val="heading 1"/>
    <w:basedOn w:val="Normal"/>
    <w:next w:val="Normal"/>
    <w:link w:val="Heading1Char"/>
    <w:uiPriority w:val="99"/>
    <w:qFormat/>
    <w:pPr>
      <w:spacing w:before="480" w:after="0" w:line="240" w:lineRule="auto"/>
      <w:outlineLvl w:val="0"/>
    </w:pPr>
    <w:rPr>
      <w:b/>
      <w:bCs/>
      <w:color w:val="365F91"/>
      <w:sz w:val="28"/>
      <w:szCs w:val="28"/>
    </w:rPr>
  </w:style>
  <w:style w:type="paragraph" w:styleId="Heading2">
    <w:name w:val="heading 2"/>
    <w:basedOn w:val="Normal"/>
    <w:next w:val="Normal"/>
    <w:link w:val="Heading2Char"/>
    <w:uiPriority w:val="99"/>
    <w:qFormat/>
    <w:pPr>
      <w:spacing w:before="200" w:after="0" w:line="240" w:lineRule="auto"/>
      <w:outlineLvl w:val="1"/>
    </w:pPr>
    <w:rPr>
      <w:b/>
      <w:bCs/>
      <w:color w:val="4F81BD"/>
      <w:sz w:val="26"/>
      <w:szCs w:val="26"/>
    </w:rPr>
  </w:style>
  <w:style w:type="paragraph" w:styleId="Heading3">
    <w:name w:val="heading 3"/>
    <w:basedOn w:val="Normal0"/>
    <w:next w:val="Normal0"/>
    <w:link w:val="Heading3Char"/>
    <w:uiPriority w:val="99"/>
    <w:qFormat/>
    <w:pPr>
      <w:spacing w:before="200" w:after="120"/>
      <w:outlineLvl w:val="2"/>
    </w:pPr>
    <w:rPr>
      <w:b/>
      <w:bCs/>
      <w:color w:val="4F81BD"/>
    </w:rPr>
  </w:style>
  <w:style w:type="paragraph" w:styleId="Heading4">
    <w:name w:val="heading 4"/>
    <w:basedOn w:val="Normal"/>
    <w:next w:val="Normal"/>
    <w:link w:val="Heading4Char"/>
    <w:uiPriority w:val="99"/>
    <w:qFormat/>
    <w:pPr>
      <w:spacing w:before="200" w:after="0" w:line="240" w:lineRule="auto"/>
      <w:outlineLvl w:val="3"/>
    </w:pPr>
    <w:rPr>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qFormat/>
    <w:locked/>
    <w:rPr>
      <w:rFonts w:cs="Times New Roman"/>
      <w:b/>
      <w:bCs/>
      <w:color w:val="4F81BD"/>
      <w:sz w:val="26"/>
      <w:szCs w:val="26"/>
    </w:rPr>
  </w:style>
  <w:style w:type="character" w:customStyle="1" w:styleId="Ttulo1Car">
    <w:name w:val="Título 1 Car"/>
    <w:basedOn w:val="DefaultParagraphFont"/>
    <w:uiPriority w:val="99"/>
    <w:qFormat/>
    <w:rPr>
      <w:rFonts w:cs="Times New Roman"/>
      <w:b/>
      <w:bCs/>
      <w:color w:val="365F91"/>
      <w:sz w:val="28"/>
      <w:szCs w:val="28"/>
    </w:rPr>
  </w:style>
  <w:style w:type="character" w:customStyle="1" w:styleId="Ttulo1Car2">
    <w:name w:val="Título 1 Car2"/>
    <w:basedOn w:val="DefaultParagraphFont"/>
    <w:uiPriority w:val="99"/>
    <w:qFormat/>
    <w:rPr>
      <w:rFonts w:cs="Times New Roman"/>
    </w:rPr>
  </w:style>
  <w:style w:type="character" w:customStyle="1" w:styleId="Heading1Char">
    <w:name w:val="Heading 1 Char"/>
    <w:basedOn w:val="DefaultParagraphFont"/>
    <w:link w:val="Heading1"/>
    <w:uiPriority w:val="9"/>
    <w:qFormat/>
    <w:locked/>
    <w:rPr>
      <w:rFonts w:asciiTheme="majorHAnsi" w:eastAsiaTheme="majorEastAsia" w:hAnsiTheme="majorHAnsi" w:cs="Times New Roman"/>
      <w:b/>
      <w:bCs/>
      <w:kern w:val="2"/>
      <w:sz w:val="32"/>
      <w:szCs w:val="32"/>
    </w:rPr>
  </w:style>
  <w:style w:type="character" w:customStyle="1" w:styleId="Heading4Char">
    <w:name w:val="Heading 4 Char"/>
    <w:basedOn w:val="DefaultParagraphFont"/>
    <w:link w:val="Heading4"/>
    <w:uiPriority w:val="99"/>
    <w:qFormat/>
    <w:locked/>
    <w:rPr>
      <w:rFonts w:cs="Times New Roman"/>
    </w:rPr>
  </w:style>
  <w:style w:type="character" w:customStyle="1" w:styleId="Heading3Char">
    <w:name w:val="Heading 3 Char"/>
    <w:basedOn w:val="DefaultParagraphFont"/>
    <w:link w:val="Heading3"/>
    <w:uiPriority w:val="99"/>
    <w:qFormat/>
    <w:locked/>
    <w:rPr>
      <w:rFonts w:cs="Times New Roman"/>
    </w:rPr>
  </w:style>
  <w:style w:type="character" w:customStyle="1" w:styleId="PlainTextChar">
    <w:name w:val="Plain Text Char"/>
    <w:basedOn w:val="DefaultParagraphFont"/>
    <w:link w:val="PlainText"/>
    <w:uiPriority w:val="99"/>
    <w:semiHidden/>
    <w:qFormat/>
    <w:locked/>
    <w:rPr>
      <w:rFonts w:ascii="Courier New" w:hAnsi="Courier New" w:cs="Courier New"/>
      <w:sz w:val="20"/>
      <w:szCs w:val="20"/>
    </w:rPr>
  </w:style>
  <w:style w:type="character" w:customStyle="1" w:styleId="TextonotapieCar">
    <w:name w:val="Texto nota pie Car"/>
    <w:basedOn w:val="DefaultParagraphFont"/>
    <w:uiPriority w:val="99"/>
    <w:semiHidden/>
    <w:qFormat/>
    <w:locked/>
    <w:rPr>
      <w:rFonts w:ascii="Times New Roman" w:hAnsi="Times New Roman" w:cs="Times New Roman"/>
      <w:sz w:val="20"/>
      <w:szCs w:val="20"/>
    </w:rPr>
  </w:style>
  <w:style w:type="character" w:customStyle="1" w:styleId="FootnoteCharacters">
    <w:name w:val="Footnote Characters"/>
    <w:basedOn w:val="DefaultParagraphFont"/>
    <w:uiPriority w:val="99"/>
    <w:qFormat/>
    <w:rPr>
      <w:rFonts w:cs="Times New Roman"/>
      <w:sz w:val="20"/>
      <w:szCs w:val="20"/>
      <w:vertAlign w:val="superscript"/>
    </w:rPr>
  </w:style>
  <w:style w:type="character" w:customStyle="1" w:styleId="FootnoteAnchor">
    <w:name w:val="Footnote Anchor"/>
    <w:rPr>
      <w:rFonts w:cs="Times New Roman"/>
      <w:sz w:val="20"/>
      <w:szCs w:val="20"/>
      <w:vertAlign w:val="superscript"/>
    </w:rPr>
  </w:style>
  <w:style w:type="character" w:customStyle="1" w:styleId="EndnoteCharacters">
    <w:name w:val="Endnote Characters"/>
    <w:basedOn w:val="DefaultParagraphFont"/>
    <w:uiPriority w:val="99"/>
    <w:qFormat/>
    <w:rPr>
      <w:rFonts w:cs="Times New Roman"/>
      <w:sz w:val="20"/>
      <w:szCs w:val="20"/>
      <w:vertAlign w:val="superscript"/>
    </w:rPr>
  </w:style>
  <w:style w:type="character" w:customStyle="1" w:styleId="EndnoteAnchor">
    <w:name w:val="Endnote Anchor"/>
    <w:rPr>
      <w:rFonts w:cs="Times New Roman"/>
      <w:sz w:val="20"/>
      <w:szCs w:val="20"/>
      <w:vertAlign w:val="superscript"/>
    </w:rPr>
  </w:style>
  <w:style w:type="character" w:customStyle="1" w:styleId="EndnoteTextChar">
    <w:name w:val="Endnote Text Char"/>
    <w:basedOn w:val="DefaultParagraphFont"/>
    <w:link w:val="EndnoteText"/>
    <w:uiPriority w:val="99"/>
    <w:semiHidden/>
    <w:qFormat/>
    <w:locked/>
    <w:rPr>
      <w:rFonts w:ascii="Times New Roman" w:hAnsi="Times New Roman" w:cs="Times New Roman"/>
      <w:sz w:val="20"/>
      <w:szCs w:val="20"/>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BulletList">
    <w:name w:val="Bullet List"/>
    <w:uiPriority w:val="99"/>
    <w:qFormat/>
    <w:pPr>
      <w:widowControl w:val="0"/>
      <w:ind w:left="720" w:hanging="431"/>
    </w:pPr>
    <w:rPr>
      <w:rFonts w:ascii="Times New Roman" w:hAnsi="Times New Roman"/>
      <w:sz w:val="24"/>
      <w:szCs w:val="24"/>
    </w:rPr>
  </w:style>
  <w:style w:type="paragraph" w:customStyle="1" w:styleId="NumberedList">
    <w:name w:val="Numbered List"/>
    <w:uiPriority w:val="99"/>
    <w:qFormat/>
    <w:pPr>
      <w:widowControl w:val="0"/>
      <w:ind w:left="720" w:hanging="431"/>
    </w:pPr>
    <w:rPr>
      <w:rFonts w:ascii="Times New Roman" w:hAnsi="Times New Roman"/>
      <w:sz w:val="24"/>
      <w:szCs w:val="24"/>
    </w:rPr>
  </w:style>
  <w:style w:type="paragraph" w:customStyle="1" w:styleId="ArrowheadList">
    <w:name w:val="Arrowhead List"/>
    <w:uiPriority w:val="99"/>
    <w:qFormat/>
    <w:pPr>
      <w:widowControl w:val="0"/>
      <w:ind w:left="720" w:hanging="431"/>
    </w:pPr>
    <w:rPr>
      <w:rFonts w:ascii="Times New Roman" w:hAnsi="Times New Roman"/>
      <w:sz w:val="24"/>
      <w:szCs w:val="24"/>
    </w:rPr>
  </w:style>
  <w:style w:type="paragraph" w:customStyle="1" w:styleId="ChapterHeading">
    <w:name w:val="Chapter Heading"/>
    <w:basedOn w:val="NumberedHeading1"/>
    <w:next w:val="Normal"/>
    <w:qFormat/>
    <w:pPr>
      <w:tabs>
        <w:tab w:val="clear" w:pos="431"/>
        <w:tab w:val="left" w:pos="1584"/>
      </w:tabs>
    </w:pPr>
  </w:style>
  <w:style w:type="paragraph" w:customStyle="1" w:styleId="LowerCaseList">
    <w:name w:val="Lower Case List"/>
    <w:basedOn w:val="NumberedList"/>
    <w:uiPriority w:val="99"/>
    <w:qFormat/>
  </w:style>
  <w:style w:type="paragraph" w:customStyle="1" w:styleId="TriangleList">
    <w:name w:val="Triangle List"/>
    <w:uiPriority w:val="99"/>
    <w:qFormat/>
    <w:pPr>
      <w:widowControl w:val="0"/>
      <w:ind w:left="720" w:hanging="431"/>
    </w:pPr>
    <w:rPr>
      <w:rFonts w:ascii="Times New Roman" w:hAnsi="Times New Roman"/>
      <w:sz w:val="24"/>
      <w:szCs w:val="24"/>
    </w:rPr>
  </w:style>
  <w:style w:type="paragraph" w:styleId="BlockText">
    <w:name w:val="Block Text"/>
    <w:basedOn w:val="Normal"/>
    <w:uiPriority w:val="99"/>
    <w:qFormat/>
    <w:pPr>
      <w:spacing w:after="120" w:line="240" w:lineRule="auto"/>
      <w:ind w:left="1440" w:right="1440"/>
    </w:pPr>
    <w:rPr>
      <w:sz w:val="24"/>
      <w:szCs w:val="24"/>
    </w:rPr>
  </w:style>
  <w:style w:type="paragraph" w:customStyle="1" w:styleId="SquareList">
    <w:name w:val="Square List"/>
    <w:uiPriority w:val="99"/>
    <w:qFormat/>
    <w:pPr>
      <w:widowControl w:val="0"/>
      <w:ind w:left="720" w:hanging="431"/>
    </w:pPr>
    <w:rPr>
      <w:rFonts w:ascii="Times New Roman" w:hAnsi="Times New Roman"/>
      <w:sz w:val="24"/>
      <w:szCs w:val="24"/>
    </w:rPr>
  </w:style>
  <w:style w:type="paragraph" w:customStyle="1" w:styleId="ContentsHeader">
    <w:name w:val="Contents Header"/>
    <w:basedOn w:val="Normal"/>
    <w:next w:val="Normal"/>
    <w:uiPriority w:val="99"/>
    <w:qFormat/>
    <w:pPr>
      <w:spacing w:before="240" w:after="120" w:line="240" w:lineRule="auto"/>
      <w:jc w:val="center"/>
    </w:pPr>
    <w:rPr>
      <w:rFonts w:ascii="Liberation Sans" w:hAnsi="Liberation Sans" w:cs="Liberation Sans"/>
      <w:b/>
      <w:bCs/>
      <w:sz w:val="32"/>
      <w:szCs w:val="32"/>
    </w:rPr>
  </w:style>
  <w:style w:type="paragraph" w:styleId="PlainText">
    <w:name w:val="Plain Text"/>
    <w:basedOn w:val="Normal"/>
    <w:link w:val="PlainTextChar"/>
    <w:uiPriority w:val="99"/>
    <w:qFormat/>
    <w:pPr>
      <w:spacing w:after="0" w:line="240" w:lineRule="auto"/>
    </w:pPr>
    <w:rPr>
      <w:rFonts w:ascii="Courier New" w:hAnsi="Courier New" w:cs="Courier New"/>
      <w:sz w:val="24"/>
      <w:szCs w:val="24"/>
    </w:rPr>
  </w:style>
  <w:style w:type="paragraph" w:customStyle="1" w:styleId="DiamondList">
    <w:name w:val="Diamond List"/>
    <w:uiPriority w:val="99"/>
    <w:qFormat/>
    <w:pPr>
      <w:widowControl w:val="0"/>
      <w:ind w:left="720" w:hanging="431"/>
    </w:pPr>
    <w:rPr>
      <w:rFonts w:ascii="Times New Roman" w:hAnsi="Times New Roman"/>
      <w:sz w:val="24"/>
      <w:szCs w:val="24"/>
    </w:rPr>
  </w:style>
  <w:style w:type="paragraph" w:customStyle="1" w:styleId="HeartList">
    <w:name w:val="Heart List"/>
    <w:uiPriority w:val="99"/>
    <w:qFormat/>
    <w:pPr>
      <w:widowControl w:val="0"/>
      <w:ind w:left="720" w:hanging="431"/>
    </w:pPr>
    <w:rPr>
      <w:rFonts w:ascii="Times New Roman" w:hAnsi="Times New Roman"/>
      <w:sz w:val="24"/>
      <w:szCs w:val="24"/>
    </w:rPr>
  </w:style>
  <w:style w:type="paragraph" w:customStyle="1" w:styleId="UpperCaseList">
    <w:name w:val="Upper Case List"/>
    <w:basedOn w:val="NumberedList"/>
    <w:uiPriority w:val="99"/>
    <w:qFormat/>
  </w:style>
  <w:style w:type="paragraph" w:customStyle="1" w:styleId="BoxList">
    <w:name w:val="Box List"/>
    <w:uiPriority w:val="99"/>
    <w:qFormat/>
    <w:pPr>
      <w:widowControl w:val="0"/>
      <w:ind w:left="720" w:hanging="431"/>
    </w:pPr>
    <w:rPr>
      <w:rFonts w:ascii="Times New Roman" w:hAnsi="Times New Roman"/>
      <w:sz w:val="24"/>
      <w:szCs w:val="24"/>
    </w:rPr>
  </w:style>
  <w:style w:type="paragraph" w:customStyle="1" w:styleId="UpperRomanList">
    <w:name w:val="Upper Roman List"/>
    <w:basedOn w:val="NumberedList"/>
    <w:uiPriority w:val="99"/>
    <w:qFormat/>
  </w:style>
  <w:style w:type="paragraph" w:customStyle="1" w:styleId="HandList">
    <w:name w:val="Hand List"/>
    <w:uiPriority w:val="99"/>
    <w:qFormat/>
    <w:pPr>
      <w:widowControl w:val="0"/>
      <w:ind w:left="720" w:hanging="431"/>
    </w:pPr>
    <w:rPr>
      <w:rFonts w:ascii="Times New Roman" w:hAnsi="Times New Roman"/>
      <w:sz w:val="24"/>
      <w:szCs w:val="24"/>
    </w:rPr>
  </w:style>
  <w:style w:type="paragraph" w:customStyle="1" w:styleId="FootnoteText1">
    <w:name w:val="Footnote Text1"/>
    <w:basedOn w:val="Normal"/>
    <w:uiPriority w:val="99"/>
    <w:pPr>
      <w:spacing w:after="0" w:line="240" w:lineRule="auto"/>
      <w:ind w:left="288" w:hanging="288"/>
    </w:pPr>
    <w:rPr>
      <w:sz w:val="20"/>
      <w:szCs w:val="20"/>
    </w:rPr>
  </w:style>
  <w:style w:type="paragraph" w:customStyle="1" w:styleId="StarList">
    <w:name w:val="Star List"/>
    <w:uiPriority w:val="99"/>
    <w:qFormat/>
    <w:pPr>
      <w:widowControl w:val="0"/>
      <w:ind w:left="720" w:hanging="431"/>
    </w:pPr>
    <w:rPr>
      <w:rFonts w:ascii="Times New Roman" w:hAnsi="Times New Roman"/>
      <w:sz w:val="24"/>
      <w:szCs w:val="24"/>
    </w:rPr>
  </w:style>
  <w:style w:type="paragraph" w:customStyle="1" w:styleId="SectionHeading">
    <w:name w:val="Section Heading"/>
    <w:basedOn w:val="NumberedHeading1"/>
    <w:next w:val="Normal"/>
    <w:uiPriority w:val="99"/>
    <w:qFormat/>
    <w:pPr>
      <w:tabs>
        <w:tab w:val="clear" w:pos="431"/>
        <w:tab w:val="left" w:pos="1584"/>
      </w:tabs>
    </w:pPr>
  </w:style>
  <w:style w:type="paragraph" w:customStyle="1" w:styleId="Normal0">
    <w:name w:val="_Normal"/>
    <w:basedOn w:val="Normal"/>
    <w:uiPriority w:val="99"/>
    <w:qFormat/>
    <w:pPr>
      <w:spacing w:after="0" w:line="240" w:lineRule="auto"/>
    </w:pPr>
    <w:rPr>
      <w:sz w:val="24"/>
      <w:szCs w:val="24"/>
    </w:rPr>
  </w:style>
  <w:style w:type="paragraph" w:customStyle="1" w:styleId="ImpliesList">
    <w:name w:val="Implies List"/>
    <w:uiPriority w:val="99"/>
    <w:qFormat/>
    <w:pPr>
      <w:widowControl w:val="0"/>
      <w:ind w:left="720" w:hanging="431"/>
    </w:pPr>
    <w:rPr>
      <w:rFonts w:ascii="Times New Roman" w:hAnsi="Times New Roman"/>
      <w:sz w:val="24"/>
      <w:szCs w:val="24"/>
    </w:rPr>
  </w:style>
  <w:style w:type="paragraph" w:customStyle="1" w:styleId="TickList">
    <w:name w:val="Tick List"/>
    <w:uiPriority w:val="99"/>
    <w:qFormat/>
    <w:pPr>
      <w:widowControl w:val="0"/>
      <w:ind w:left="720" w:hanging="431"/>
    </w:pPr>
    <w:rPr>
      <w:rFonts w:ascii="Times New Roman" w:hAnsi="Times New Roman"/>
      <w:sz w:val="24"/>
      <w:szCs w:val="24"/>
    </w:rPr>
  </w:style>
  <w:style w:type="paragraph" w:styleId="ListParagraph">
    <w:name w:val="List Paragraph"/>
    <w:basedOn w:val="Normal0"/>
    <w:uiPriority w:val="99"/>
    <w:qFormat/>
    <w:pPr>
      <w:ind w:left="720"/>
    </w:pPr>
  </w:style>
  <w:style w:type="paragraph" w:styleId="EndnoteText">
    <w:name w:val="endnote text"/>
    <w:basedOn w:val="Normal"/>
    <w:link w:val="EndnoteTextChar"/>
    <w:uiPriority w:val="99"/>
    <w:pPr>
      <w:spacing w:after="0" w:line="240" w:lineRule="auto"/>
    </w:pPr>
    <w:rPr>
      <w:sz w:val="24"/>
      <w:szCs w:val="24"/>
    </w:rPr>
  </w:style>
  <w:style w:type="paragraph" w:customStyle="1" w:styleId="DashedList">
    <w:name w:val="Dashed List"/>
    <w:uiPriority w:val="99"/>
    <w:qFormat/>
    <w:pPr>
      <w:widowControl w:val="0"/>
      <w:ind w:left="720" w:hanging="431"/>
    </w:pPr>
    <w:rPr>
      <w:rFonts w:ascii="Times New Roman" w:hAnsi="Times New Roman"/>
      <w:sz w:val="24"/>
      <w:szCs w:val="24"/>
    </w:rPr>
  </w:style>
  <w:style w:type="paragraph" w:customStyle="1" w:styleId="LowerRomanList">
    <w:name w:val="Lower Roman List"/>
    <w:basedOn w:val="Normal"/>
    <w:uiPriority w:val="99"/>
    <w:qFormat/>
    <w:pPr>
      <w:spacing w:after="0" w:line="240" w:lineRule="auto"/>
      <w:ind w:left="720" w:hanging="431"/>
    </w:pPr>
    <w:rPr>
      <w:sz w:val="24"/>
      <w:szCs w:val="24"/>
    </w:rPr>
  </w:style>
  <w:style w:type="paragraph" w:customStyle="1" w:styleId="NumberedHeading1">
    <w:name w:val="Numbered Heading 1"/>
    <w:basedOn w:val="Heading1"/>
    <w:next w:val="Normal"/>
    <w:uiPriority w:val="99"/>
    <w:qFormat/>
    <w:pPr>
      <w:tabs>
        <w:tab w:val="left" w:pos="431"/>
      </w:tabs>
      <w:spacing w:before="0"/>
    </w:pPr>
    <w:rPr>
      <w:b w:val="0"/>
      <w:bCs w:val="0"/>
      <w:color w:val="auto"/>
      <w:sz w:val="24"/>
      <w:szCs w:val="24"/>
    </w:rPr>
  </w:style>
  <w:style w:type="paragraph" w:customStyle="1" w:styleId="NumberedHeading2">
    <w:name w:val="Numbered Heading 2"/>
    <w:basedOn w:val="Heading2"/>
    <w:next w:val="Normal"/>
    <w:uiPriority w:val="99"/>
    <w:qFormat/>
    <w:pPr>
      <w:tabs>
        <w:tab w:val="left" w:pos="431"/>
      </w:tabs>
      <w:spacing w:before="0"/>
    </w:pPr>
    <w:rPr>
      <w:b w:val="0"/>
      <w:bCs w:val="0"/>
      <w:color w:val="auto"/>
      <w:sz w:val="24"/>
      <w:szCs w:val="24"/>
    </w:rPr>
  </w:style>
  <w:style w:type="paragraph" w:customStyle="1" w:styleId="NumberedHeading3">
    <w:name w:val="Numbered Heading 3"/>
    <w:basedOn w:val="Heading3"/>
    <w:next w:val="Normal"/>
    <w:uiPriority w:val="99"/>
    <w:qFormat/>
    <w:pPr>
      <w:tabs>
        <w:tab w:val="left" w:pos="431"/>
      </w:tabs>
      <w:spacing w:before="0"/>
    </w:pPr>
    <w:rPr>
      <w:b w:val="0"/>
      <w:bCs w:val="0"/>
      <w:color w:val="auto"/>
    </w:rPr>
  </w:style>
  <w:style w:type="paragraph" w:customStyle="1" w:styleId="TOC11">
    <w:name w:val="TOC 11"/>
    <w:basedOn w:val="Normal"/>
    <w:next w:val="Normal"/>
    <w:uiPriority w:val="99"/>
    <w:pPr>
      <w:spacing w:after="0" w:line="240" w:lineRule="auto"/>
      <w:ind w:left="720" w:hanging="431"/>
    </w:pPr>
    <w:rPr>
      <w:sz w:val="24"/>
      <w:szCs w:val="24"/>
    </w:rPr>
  </w:style>
  <w:style w:type="paragraph" w:customStyle="1" w:styleId="TOC21">
    <w:name w:val="TOC 21"/>
    <w:basedOn w:val="Normal"/>
    <w:next w:val="Normal"/>
    <w:uiPriority w:val="99"/>
    <w:pPr>
      <w:spacing w:after="0" w:line="240" w:lineRule="auto"/>
      <w:ind w:left="1440" w:hanging="431"/>
    </w:pPr>
    <w:rPr>
      <w:sz w:val="24"/>
      <w:szCs w:val="24"/>
    </w:rPr>
  </w:style>
  <w:style w:type="paragraph" w:customStyle="1" w:styleId="TOC31">
    <w:name w:val="TOC 31"/>
    <w:basedOn w:val="Normal"/>
    <w:next w:val="Normal"/>
    <w:uiPriority w:val="99"/>
    <w:pPr>
      <w:spacing w:after="0" w:line="240" w:lineRule="auto"/>
      <w:ind w:left="2160" w:hanging="431"/>
    </w:pPr>
    <w:rPr>
      <w:sz w:val="24"/>
      <w:szCs w:val="24"/>
    </w:rPr>
  </w:style>
  <w:style w:type="paragraph" w:customStyle="1" w:styleId="TOC41">
    <w:name w:val="TOC 41"/>
    <w:basedOn w:val="Normal"/>
    <w:next w:val="Normal"/>
    <w:uiPriority w:val="99"/>
    <w:pPr>
      <w:spacing w:after="0" w:line="240" w:lineRule="auto"/>
      <w:ind w:left="2880" w:hanging="43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Cs w:val="22"/>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200" w:line="276" w:lineRule="auto"/>
    </w:pPr>
    <w:rPr>
      <w:rFonts w:ascii="Times New Roman" w:hAnsi="Times New Roman"/>
      <w:sz w:val="22"/>
    </w:rPr>
  </w:style>
  <w:style w:type="paragraph" w:styleId="Heading1">
    <w:name w:val="heading 1"/>
    <w:basedOn w:val="Normal"/>
    <w:next w:val="Normal"/>
    <w:link w:val="Heading1Char"/>
    <w:uiPriority w:val="99"/>
    <w:qFormat/>
    <w:pPr>
      <w:spacing w:before="480" w:after="0" w:line="240" w:lineRule="auto"/>
      <w:outlineLvl w:val="0"/>
    </w:pPr>
    <w:rPr>
      <w:b/>
      <w:bCs/>
      <w:color w:val="365F91"/>
      <w:sz w:val="28"/>
      <w:szCs w:val="28"/>
    </w:rPr>
  </w:style>
  <w:style w:type="paragraph" w:styleId="Heading2">
    <w:name w:val="heading 2"/>
    <w:basedOn w:val="Normal"/>
    <w:next w:val="Normal"/>
    <w:link w:val="Heading2Char"/>
    <w:uiPriority w:val="99"/>
    <w:qFormat/>
    <w:pPr>
      <w:spacing w:before="200" w:after="0" w:line="240" w:lineRule="auto"/>
      <w:outlineLvl w:val="1"/>
    </w:pPr>
    <w:rPr>
      <w:b/>
      <w:bCs/>
      <w:color w:val="4F81BD"/>
      <w:sz w:val="26"/>
      <w:szCs w:val="26"/>
    </w:rPr>
  </w:style>
  <w:style w:type="paragraph" w:styleId="Heading3">
    <w:name w:val="heading 3"/>
    <w:basedOn w:val="Normal0"/>
    <w:next w:val="Normal0"/>
    <w:link w:val="Heading3Char"/>
    <w:uiPriority w:val="99"/>
    <w:qFormat/>
    <w:pPr>
      <w:spacing w:before="200" w:after="120"/>
      <w:outlineLvl w:val="2"/>
    </w:pPr>
    <w:rPr>
      <w:b/>
      <w:bCs/>
      <w:color w:val="4F81BD"/>
    </w:rPr>
  </w:style>
  <w:style w:type="paragraph" w:styleId="Heading4">
    <w:name w:val="heading 4"/>
    <w:basedOn w:val="Normal"/>
    <w:next w:val="Normal"/>
    <w:link w:val="Heading4Char"/>
    <w:uiPriority w:val="99"/>
    <w:qFormat/>
    <w:pPr>
      <w:spacing w:before="200" w:after="0" w:line="240" w:lineRule="auto"/>
      <w:outlineLvl w:val="3"/>
    </w:pPr>
    <w:rPr>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qFormat/>
    <w:locked/>
    <w:rPr>
      <w:rFonts w:cs="Times New Roman"/>
      <w:b/>
      <w:bCs/>
      <w:color w:val="4F81BD"/>
      <w:sz w:val="26"/>
      <w:szCs w:val="26"/>
    </w:rPr>
  </w:style>
  <w:style w:type="character" w:customStyle="1" w:styleId="Ttulo1Car">
    <w:name w:val="Título 1 Car"/>
    <w:basedOn w:val="DefaultParagraphFont"/>
    <w:uiPriority w:val="99"/>
    <w:qFormat/>
    <w:rPr>
      <w:rFonts w:cs="Times New Roman"/>
      <w:b/>
      <w:bCs/>
      <w:color w:val="365F91"/>
      <w:sz w:val="28"/>
      <w:szCs w:val="28"/>
    </w:rPr>
  </w:style>
  <w:style w:type="character" w:customStyle="1" w:styleId="Ttulo1Car2">
    <w:name w:val="Título 1 Car2"/>
    <w:basedOn w:val="DefaultParagraphFont"/>
    <w:uiPriority w:val="99"/>
    <w:qFormat/>
    <w:rPr>
      <w:rFonts w:cs="Times New Roman"/>
    </w:rPr>
  </w:style>
  <w:style w:type="character" w:customStyle="1" w:styleId="Heading1Char">
    <w:name w:val="Heading 1 Char"/>
    <w:basedOn w:val="DefaultParagraphFont"/>
    <w:link w:val="Heading1"/>
    <w:uiPriority w:val="9"/>
    <w:qFormat/>
    <w:locked/>
    <w:rPr>
      <w:rFonts w:asciiTheme="majorHAnsi" w:eastAsiaTheme="majorEastAsia" w:hAnsiTheme="majorHAnsi" w:cs="Times New Roman"/>
      <w:b/>
      <w:bCs/>
      <w:kern w:val="2"/>
      <w:sz w:val="32"/>
      <w:szCs w:val="32"/>
    </w:rPr>
  </w:style>
  <w:style w:type="character" w:customStyle="1" w:styleId="Heading4Char">
    <w:name w:val="Heading 4 Char"/>
    <w:basedOn w:val="DefaultParagraphFont"/>
    <w:link w:val="Heading4"/>
    <w:uiPriority w:val="99"/>
    <w:qFormat/>
    <w:locked/>
    <w:rPr>
      <w:rFonts w:cs="Times New Roman"/>
    </w:rPr>
  </w:style>
  <w:style w:type="character" w:customStyle="1" w:styleId="Heading3Char">
    <w:name w:val="Heading 3 Char"/>
    <w:basedOn w:val="DefaultParagraphFont"/>
    <w:link w:val="Heading3"/>
    <w:uiPriority w:val="99"/>
    <w:qFormat/>
    <w:locked/>
    <w:rPr>
      <w:rFonts w:cs="Times New Roman"/>
    </w:rPr>
  </w:style>
  <w:style w:type="character" w:customStyle="1" w:styleId="PlainTextChar">
    <w:name w:val="Plain Text Char"/>
    <w:basedOn w:val="DefaultParagraphFont"/>
    <w:link w:val="PlainText"/>
    <w:uiPriority w:val="99"/>
    <w:semiHidden/>
    <w:qFormat/>
    <w:locked/>
    <w:rPr>
      <w:rFonts w:ascii="Courier New" w:hAnsi="Courier New" w:cs="Courier New"/>
      <w:sz w:val="20"/>
      <w:szCs w:val="20"/>
    </w:rPr>
  </w:style>
  <w:style w:type="character" w:customStyle="1" w:styleId="TextonotapieCar">
    <w:name w:val="Texto nota pie Car"/>
    <w:basedOn w:val="DefaultParagraphFont"/>
    <w:uiPriority w:val="99"/>
    <w:semiHidden/>
    <w:qFormat/>
    <w:locked/>
    <w:rPr>
      <w:rFonts w:ascii="Times New Roman" w:hAnsi="Times New Roman" w:cs="Times New Roman"/>
      <w:sz w:val="20"/>
      <w:szCs w:val="20"/>
    </w:rPr>
  </w:style>
  <w:style w:type="character" w:customStyle="1" w:styleId="FootnoteCharacters">
    <w:name w:val="Footnote Characters"/>
    <w:basedOn w:val="DefaultParagraphFont"/>
    <w:uiPriority w:val="99"/>
    <w:qFormat/>
    <w:rPr>
      <w:rFonts w:cs="Times New Roman"/>
      <w:sz w:val="20"/>
      <w:szCs w:val="20"/>
      <w:vertAlign w:val="superscript"/>
    </w:rPr>
  </w:style>
  <w:style w:type="character" w:customStyle="1" w:styleId="FootnoteAnchor">
    <w:name w:val="Footnote Anchor"/>
    <w:rPr>
      <w:rFonts w:cs="Times New Roman"/>
      <w:sz w:val="20"/>
      <w:szCs w:val="20"/>
      <w:vertAlign w:val="superscript"/>
    </w:rPr>
  </w:style>
  <w:style w:type="character" w:customStyle="1" w:styleId="EndnoteCharacters">
    <w:name w:val="Endnote Characters"/>
    <w:basedOn w:val="DefaultParagraphFont"/>
    <w:uiPriority w:val="99"/>
    <w:qFormat/>
    <w:rPr>
      <w:rFonts w:cs="Times New Roman"/>
      <w:sz w:val="20"/>
      <w:szCs w:val="20"/>
      <w:vertAlign w:val="superscript"/>
    </w:rPr>
  </w:style>
  <w:style w:type="character" w:customStyle="1" w:styleId="EndnoteAnchor">
    <w:name w:val="Endnote Anchor"/>
    <w:rPr>
      <w:rFonts w:cs="Times New Roman"/>
      <w:sz w:val="20"/>
      <w:szCs w:val="20"/>
      <w:vertAlign w:val="superscript"/>
    </w:rPr>
  </w:style>
  <w:style w:type="character" w:customStyle="1" w:styleId="EndnoteTextChar">
    <w:name w:val="Endnote Text Char"/>
    <w:basedOn w:val="DefaultParagraphFont"/>
    <w:link w:val="EndnoteText"/>
    <w:uiPriority w:val="99"/>
    <w:semiHidden/>
    <w:qFormat/>
    <w:locked/>
    <w:rPr>
      <w:rFonts w:ascii="Times New Roman" w:hAnsi="Times New Roman" w:cs="Times New Roman"/>
      <w:sz w:val="20"/>
      <w:szCs w:val="20"/>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BulletList">
    <w:name w:val="Bullet List"/>
    <w:uiPriority w:val="99"/>
    <w:qFormat/>
    <w:pPr>
      <w:widowControl w:val="0"/>
      <w:ind w:left="720" w:hanging="431"/>
    </w:pPr>
    <w:rPr>
      <w:rFonts w:ascii="Times New Roman" w:hAnsi="Times New Roman"/>
      <w:sz w:val="24"/>
      <w:szCs w:val="24"/>
    </w:rPr>
  </w:style>
  <w:style w:type="paragraph" w:customStyle="1" w:styleId="NumberedList">
    <w:name w:val="Numbered List"/>
    <w:uiPriority w:val="99"/>
    <w:qFormat/>
    <w:pPr>
      <w:widowControl w:val="0"/>
      <w:ind w:left="720" w:hanging="431"/>
    </w:pPr>
    <w:rPr>
      <w:rFonts w:ascii="Times New Roman" w:hAnsi="Times New Roman"/>
      <w:sz w:val="24"/>
      <w:szCs w:val="24"/>
    </w:rPr>
  </w:style>
  <w:style w:type="paragraph" w:customStyle="1" w:styleId="ArrowheadList">
    <w:name w:val="Arrowhead List"/>
    <w:uiPriority w:val="99"/>
    <w:qFormat/>
    <w:pPr>
      <w:widowControl w:val="0"/>
      <w:ind w:left="720" w:hanging="431"/>
    </w:pPr>
    <w:rPr>
      <w:rFonts w:ascii="Times New Roman" w:hAnsi="Times New Roman"/>
      <w:sz w:val="24"/>
      <w:szCs w:val="24"/>
    </w:rPr>
  </w:style>
  <w:style w:type="paragraph" w:customStyle="1" w:styleId="ChapterHeading">
    <w:name w:val="Chapter Heading"/>
    <w:basedOn w:val="NumberedHeading1"/>
    <w:next w:val="Normal"/>
    <w:qFormat/>
    <w:pPr>
      <w:tabs>
        <w:tab w:val="clear" w:pos="431"/>
        <w:tab w:val="left" w:pos="1584"/>
      </w:tabs>
    </w:pPr>
  </w:style>
  <w:style w:type="paragraph" w:customStyle="1" w:styleId="LowerCaseList">
    <w:name w:val="Lower Case List"/>
    <w:basedOn w:val="NumberedList"/>
    <w:uiPriority w:val="99"/>
    <w:qFormat/>
  </w:style>
  <w:style w:type="paragraph" w:customStyle="1" w:styleId="TriangleList">
    <w:name w:val="Triangle List"/>
    <w:uiPriority w:val="99"/>
    <w:qFormat/>
    <w:pPr>
      <w:widowControl w:val="0"/>
      <w:ind w:left="720" w:hanging="431"/>
    </w:pPr>
    <w:rPr>
      <w:rFonts w:ascii="Times New Roman" w:hAnsi="Times New Roman"/>
      <w:sz w:val="24"/>
      <w:szCs w:val="24"/>
    </w:rPr>
  </w:style>
  <w:style w:type="paragraph" w:styleId="BlockText">
    <w:name w:val="Block Text"/>
    <w:basedOn w:val="Normal"/>
    <w:uiPriority w:val="99"/>
    <w:qFormat/>
    <w:pPr>
      <w:spacing w:after="120" w:line="240" w:lineRule="auto"/>
      <w:ind w:left="1440" w:right="1440"/>
    </w:pPr>
    <w:rPr>
      <w:sz w:val="24"/>
      <w:szCs w:val="24"/>
    </w:rPr>
  </w:style>
  <w:style w:type="paragraph" w:customStyle="1" w:styleId="SquareList">
    <w:name w:val="Square List"/>
    <w:uiPriority w:val="99"/>
    <w:qFormat/>
    <w:pPr>
      <w:widowControl w:val="0"/>
      <w:ind w:left="720" w:hanging="431"/>
    </w:pPr>
    <w:rPr>
      <w:rFonts w:ascii="Times New Roman" w:hAnsi="Times New Roman"/>
      <w:sz w:val="24"/>
      <w:szCs w:val="24"/>
    </w:rPr>
  </w:style>
  <w:style w:type="paragraph" w:customStyle="1" w:styleId="ContentsHeader">
    <w:name w:val="Contents Header"/>
    <w:basedOn w:val="Normal"/>
    <w:next w:val="Normal"/>
    <w:uiPriority w:val="99"/>
    <w:qFormat/>
    <w:pPr>
      <w:spacing w:before="240" w:after="120" w:line="240" w:lineRule="auto"/>
      <w:jc w:val="center"/>
    </w:pPr>
    <w:rPr>
      <w:rFonts w:ascii="Liberation Sans" w:hAnsi="Liberation Sans" w:cs="Liberation Sans"/>
      <w:b/>
      <w:bCs/>
      <w:sz w:val="32"/>
      <w:szCs w:val="32"/>
    </w:rPr>
  </w:style>
  <w:style w:type="paragraph" w:styleId="PlainText">
    <w:name w:val="Plain Text"/>
    <w:basedOn w:val="Normal"/>
    <w:link w:val="PlainTextChar"/>
    <w:uiPriority w:val="99"/>
    <w:qFormat/>
    <w:pPr>
      <w:spacing w:after="0" w:line="240" w:lineRule="auto"/>
    </w:pPr>
    <w:rPr>
      <w:rFonts w:ascii="Courier New" w:hAnsi="Courier New" w:cs="Courier New"/>
      <w:sz w:val="24"/>
      <w:szCs w:val="24"/>
    </w:rPr>
  </w:style>
  <w:style w:type="paragraph" w:customStyle="1" w:styleId="DiamondList">
    <w:name w:val="Diamond List"/>
    <w:uiPriority w:val="99"/>
    <w:qFormat/>
    <w:pPr>
      <w:widowControl w:val="0"/>
      <w:ind w:left="720" w:hanging="431"/>
    </w:pPr>
    <w:rPr>
      <w:rFonts w:ascii="Times New Roman" w:hAnsi="Times New Roman"/>
      <w:sz w:val="24"/>
      <w:szCs w:val="24"/>
    </w:rPr>
  </w:style>
  <w:style w:type="paragraph" w:customStyle="1" w:styleId="HeartList">
    <w:name w:val="Heart List"/>
    <w:uiPriority w:val="99"/>
    <w:qFormat/>
    <w:pPr>
      <w:widowControl w:val="0"/>
      <w:ind w:left="720" w:hanging="431"/>
    </w:pPr>
    <w:rPr>
      <w:rFonts w:ascii="Times New Roman" w:hAnsi="Times New Roman"/>
      <w:sz w:val="24"/>
      <w:szCs w:val="24"/>
    </w:rPr>
  </w:style>
  <w:style w:type="paragraph" w:customStyle="1" w:styleId="UpperCaseList">
    <w:name w:val="Upper Case List"/>
    <w:basedOn w:val="NumberedList"/>
    <w:uiPriority w:val="99"/>
    <w:qFormat/>
  </w:style>
  <w:style w:type="paragraph" w:customStyle="1" w:styleId="BoxList">
    <w:name w:val="Box List"/>
    <w:uiPriority w:val="99"/>
    <w:qFormat/>
    <w:pPr>
      <w:widowControl w:val="0"/>
      <w:ind w:left="720" w:hanging="431"/>
    </w:pPr>
    <w:rPr>
      <w:rFonts w:ascii="Times New Roman" w:hAnsi="Times New Roman"/>
      <w:sz w:val="24"/>
      <w:szCs w:val="24"/>
    </w:rPr>
  </w:style>
  <w:style w:type="paragraph" w:customStyle="1" w:styleId="UpperRomanList">
    <w:name w:val="Upper Roman List"/>
    <w:basedOn w:val="NumberedList"/>
    <w:uiPriority w:val="99"/>
    <w:qFormat/>
  </w:style>
  <w:style w:type="paragraph" w:customStyle="1" w:styleId="HandList">
    <w:name w:val="Hand List"/>
    <w:uiPriority w:val="99"/>
    <w:qFormat/>
    <w:pPr>
      <w:widowControl w:val="0"/>
      <w:ind w:left="720" w:hanging="431"/>
    </w:pPr>
    <w:rPr>
      <w:rFonts w:ascii="Times New Roman" w:hAnsi="Times New Roman"/>
      <w:sz w:val="24"/>
      <w:szCs w:val="24"/>
    </w:rPr>
  </w:style>
  <w:style w:type="paragraph" w:customStyle="1" w:styleId="FootnoteText1">
    <w:name w:val="Footnote Text1"/>
    <w:basedOn w:val="Normal"/>
    <w:uiPriority w:val="99"/>
    <w:pPr>
      <w:spacing w:after="0" w:line="240" w:lineRule="auto"/>
      <w:ind w:left="288" w:hanging="288"/>
    </w:pPr>
    <w:rPr>
      <w:sz w:val="20"/>
      <w:szCs w:val="20"/>
    </w:rPr>
  </w:style>
  <w:style w:type="paragraph" w:customStyle="1" w:styleId="StarList">
    <w:name w:val="Star List"/>
    <w:uiPriority w:val="99"/>
    <w:qFormat/>
    <w:pPr>
      <w:widowControl w:val="0"/>
      <w:ind w:left="720" w:hanging="431"/>
    </w:pPr>
    <w:rPr>
      <w:rFonts w:ascii="Times New Roman" w:hAnsi="Times New Roman"/>
      <w:sz w:val="24"/>
      <w:szCs w:val="24"/>
    </w:rPr>
  </w:style>
  <w:style w:type="paragraph" w:customStyle="1" w:styleId="SectionHeading">
    <w:name w:val="Section Heading"/>
    <w:basedOn w:val="NumberedHeading1"/>
    <w:next w:val="Normal"/>
    <w:uiPriority w:val="99"/>
    <w:qFormat/>
    <w:pPr>
      <w:tabs>
        <w:tab w:val="clear" w:pos="431"/>
        <w:tab w:val="left" w:pos="1584"/>
      </w:tabs>
    </w:pPr>
  </w:style>
  <w:style w:type="paragraph" w:customStyle="1" w:styleId="Normal0">
    <w:name w:val="_Normal"/>
    <w:basedOn w:val="Normal"/>
    <w:uiPriority w:val="99"/>
    <w:qFormat/>
    <w:pPr>
      <w:spacing w:after="0" w:line="240" w:lineRule="auto"/>
    </w:pPr>
    <w:rPr>
      <w:sz w:val="24"/>
      <w:szCs w:val="24"/>
    </w:rPr>
  </w:style>
  <w:style w:type="paragraph" w:customStyle="1" w:styleId="ImpliesList">
    <w:name w:val="Implies List"/>
    <w:uiPriority w:val="99"/>
    <w:qFormat/>
    <w:pPr>
      <w:widowControl w:val="0"/>
      <w:ind w:left="720" w:hanging="431"/>
    </w:pPr>
    <w:rPr>
      <w:rFonts w:ascii="Times New Roman" w:hAnsi="Times New Roman"/>
      <w:sz w:val="24"/>
      <w:szCs w:val="24"/>
    </w:rPr>
  </w:style>
  <w:style w:type="paragraph" w:customStyle="1" w:styleId="TickList">
    <w:name w:val="Tick List"/>
    <w:uiPriority w:val="99"/>
    <w:qFormat/>
    <w:pPr>
      <w:widowControl w:val="0"/>
      <w:ind w:left="720" w:hanging="431"/>
    </w:pPr>
    <w:rPr>
      <w:rFonts w:ascii="Times New Roman" w:hAnsi="Times New Roman"/>
      <w:sz w:val="24"/>
      <w:szCs w:val="24"/>
    </w:rPr>
  </w:style>
  <w:style w:type="paragraph" w:styleId="ListParagraph">
    <w:name w:val="List Paragraph"/>
    <w:basedOn w:val="Normal0"/>
    <w:uiPriority w:val="99"/>
    <w:qFormat/>
    <w:pPr>
      <w:ind w:left="720"/>
    </w:pPr>
  </w:style>
  <w:style w:type="paragraph" w:styleId="EndnoteText">
    <w:name w:val="endnote text"/>
    <w:basedOn w:val="Normal"/>
    <w:link w:val="EndnoteTextChar"/>
    <w:uiPriority w:val="99"/>
    <w:pPr>
      <w:spacing w:after="0" w:line="240" w:lineRule="auto"/>
    </w:pPr>
    <w:rPr>
      <w:sz w:val="24"/>
      <w:szCs w:val="24"/>
    </w:rPr>
  </w:style>
  <w:style w:type="paragraph" w:customStyle="1" w:styleId="DashedList">
    <w:name w:val="Dashed List"/>
    <w:uiPriority w:val="99"/>
    <w:qFormat/>
    <w:pPr>
      <w:widowControl w:val="0"/>
      <w:ind w:left="720" w:hanging="431"/>
    </w:pPr>
    <w:rPr>
      <w:rFonts w:ascii="Times New Roman" w:hAnsi="Times New Roman"/>
      <w:sz w:val="24"/>
      <w:szCs w:val="24"/>
    </w:rPr>
  </w:style>
  <w:style w:type="paragraph" w:customStyle="1" w:styleId="LowerRomanList">
    <w:name w:val="Lower Roman List"/>
    <w:basedOn w:val="Normal"/>
    <w:uiPriority w:val="99"/>
    <w:qFormat/>
    <w:pPr>
      <w:spacing w:after="0" w:line="240" w:lineRule="auto"/>
      <w:ind w:left="720" w:hanging="431"/>
    </w:pPr>
    <w:rPr>
      <w:sz w:val="24"/>
      <w:szCs w:val="24"/>
    </w:rPr>
  </w:style>
  <w:style w:type="paragraph" w:customStyle="1" w:styleId="NumberedHeading1">
    <w:name w:val="Numbered Heading 1"/>
    <w:basedOn w:val="Heading1"/>
    <w:next w:val="Normal"/>
    <w:uiPriority w:val="99"/>
    <w:qFormat/>
    <w:pPr>
      <w:tabs>
        <w:tab w:val="left" w:pos="431"/>
      </w:tabs>
      <w:spacing w:before="0"/>
    </w:pPr>
    <w:rPr>
      <w:b w:val="0"/>
      <w:bCs w:val="0"/>
      <w:color w:val="auto"/>
      <w:sz w:val="24"/>
      <w:szCs w:val="24"/>
    </w:rPr>
  </w:style>
  <w:style w:type="paragraph" w:customStyle="1" w:styleId="NumberedHeading2">
    <w:name w:val="Numbered Heading 2"/>
    <w:basedOn w:val="Heading2"/>
    <w:next w:val="Normal"/>
    <w:uiPriority w:val="99"/>
    <w:qFormat/>
    <w:pPr>
      <w:tabs>
        <w:tab w:val="left" w:pos="431"/>
      </w:tabs>
      <w:spacing w:before="0"/>
    </w:pPr>
    <w:rPr>
      <w:b w:val="0"/>
      <w:bCs w:val="0"/>
      <w:color w:val="auto"/>
      <w:sz w:val="24"/>
      <w:szCs w:val="24"/>
    </w:rPr>
  </w:style>
  <w:style w:type="paragraph" w:customStyle="1" w:styleId="NumberedHeading3">
    <w:name w:val="Numbered Heading 3"/>
    <w:basedOn w:val="Heading3"/>
    <w:next w:val="Normal"/>
    <w:uiPriority w:val="99"/>
    <w:qFormat/>
    <w:pPr>
      <w:tabs>
        <w:tab w:val="left" w:pos="431"/>
      </w:tabs>
      <w:spacing w:before="0"/>
    </w:pPr>
    <w:rPr>
      <w:b w:val="0"/>
      <w:bCs w:val="0"/>
      <w:color w:val="auto"/>
    </w:rPr>
  </w:style>
  <w:style w:type="paragraph" w:customStyle="1" w:styleId="TOC11">
    <w:name w:val="TOC 11"/>
    <w:basedOn w:val="Normal"/>
    <w:next w:val="Normal"/>
    <w:uiPriority w:val="99"/>
    <w:pPr>
      <w:spacing w:after="0" w:line="240" w:lineRule="auto"/>
      <w:ind w:left="720" w:hanging="431"/>
    </w:pPr>
    <w:rPr>
      <w:sz w:val="24"/>
      <w:szCs w:val="24"/>
    </w:rPr>
  </w:style>
  <w:style w:type="paragraph" w:customStyle="1" w:styleId="TOC21">
    <w:name w:val="TOC 21"/>
    <w:basedOn w:val="Normal"/>
    <w:next w:val="Normal"/>
    <w:uiPriority w:val="99"/>
    <w:pPr>
      <w:spacing w:after="0" w:line="240" w:lineRule="auto"/>
      <w:ind w:left="1440" w:hanging="431"/>
    </w:pPr>
    <w:rPr>
      <w:sz w:val="24"/>
      <w:szCs w:val="24"/>
    </w:rPr>
  </w:style>
  <w:style w:type="paragraph" w:customStyle="1" w:styleId="TOC31">
    <w:name w:val="TOC 31"/>
    <w:basedOn w:val="Normal"/>
    <w:next w:val="Normal"/>
    <w:uiPriority w:val="99"/>
    <w:pPr>
      <w:spacing w:after="0" w:line="240" w:lineRule="auto"/>
      <w:ind w:left="2160" w:hanging="431"/>
    </w:pPr>
    <w:rPr>
      <w:sz w:val="24"/>
      <w:szCs w:val="24"/>
    </w:rPr>
  </w:style>
  <w:style w:type="paragraph" w:customStyle="1" w:styleId="TOC41">
    <w:name w:val="TOC 41"/>
    <w:basedOn w:val="Normal"/>
    <w:next w:val="Normal"/>
    <w:uiPriority w:val="99"/>
    <w:pPr>
      <w:spacing w:after="0" w:line="240" w:lineRule="auto"/>
      <w:ind w:left="2880" w:hanging="43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5936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Alarcon</dc:creator>
  <cp:lastModifiedBy>Eduardo Zepeda</cp:lastModifiedBy>
  <cp:revision>2</cp:revision>
  <dcterms:created xsi:type="dcterms:W3CDTF">2020-07-09T21:49:00Z</dcterms:created>
  <dcterms:modified xsi:type="dcterms:W3CDTF">2020-07-09T21:49:00Z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